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9054" w:type="dxa"/>
        <w:tblLook w:val="04A0" w:firstRow="1" w:lastRow="0" w:firstColumn="1" w:lastColumn="0" w:noHBand="0" w:noVBand="1"/>
      </w:tblPr>
      <w:tblGrid>
        <w:gridCol w:w="3132"/>
        <w:gridCol w:w="1146"/>
        <w:gridCol w:w="1199"/>
        <w:gridCol w:w="990"/>
        <w:gridCol w:w="2587"/>
      </w:tblGrid>
      <w:tr w:rsidR="009102BF" w:rsidTr="009102BF">
        <w:trPr>
          <w:tblHeader/>
        </w:trPr>
        <w:tc>
          <w:tcPr>
            <w:tcW w:w="2943"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rsidR="009102BF" w:rsidRDefault="009102BF">
            <w:pPr>
              <w:spacing w:line="240" w:lineRule="auto"/>
              <w:jc w:val="center"/>
              <w:rPr>
                <w:rFonts w:ascii="Arial" w:eastAsia="Times New Roman" w:hAnsi="Arial" w:cs="Arial"/>
                <w:color w:val="FFFFFF" w:themeColor="background1"/>
                <w:sz w:val="20"/>
                <w:szCs w:val="20"/>
                <w:lang w:eastAsia="es-MX"/>
              </w:rPr>
            </w:pPr>
            <w:bookmarkStart w:id="0" w:name="_GoBack"/>
            <w:bookmarkEnd w:id="0"/>
            <w:r>
              <w:rPr>
                <w:rFonts w:ascii="Arial" w:eastAsia="Times New Roman" w:hAnsi="Arial" w:cs="Arial"/>
                <w:color w:val="FFFFFF" w:themeColor="background1"/>
                <w:sz w:val="20"/>
                <w:szCs w:val="20"/>
                <w:lang w:eastAsia="es-MX"/>
              </w:rPr>
              <w:t>Exposición 1 de 1</w:t>
            </w:r>
          </w:p>
        </w:tc>
        <w:tc>
          <w:tcPr>
            <w:tcW w:w="6111" w:type="dxa"/>
            <w:gridSpan w:val="4"/>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rsidR="009102BF" w:rsidRDefault="009102BF">
            <w:pPr>
              <w:spacing w:line="240" w:lineRule="auto"/>
              <w:jc w:val="center"/>
              <w:rPr>
                <w:rFonts w:ascii="Arial" w:eastAsia="Times New Roman" w:hAnsi="Arial" w:cs="Arial"/>
                <w:color w:val="FFFFFF" w:themeColor="background1"/>
                <w:sz w:val="20"/>
                <w:szCs w:val="20"/>
                <w:lang w:eastAsia="es-MX"/>
              </w:rPr>
            </w:pPr>
            <w:r>
              <w:rPr>
                <w:rFonts w:ascii="Arial" w:eastAsia="Times New Roman" w:hAnsi="Arial" w:cs="Arial"/>
                <w:color w:val="FFFFFF" w:themeColor="background1"/>
                <w:lang w:eastAsia="es-MX"/>
              </w:rPr>
              <w:t>Iniciativas para Ley de Ingreso 2018</w:t>
            </w:r>
          </w:p>
        </w:tc>
      </w:tr>
      <w:tr w:rsidR="009102BF" w:rsidTr="009102BF">
        <w:trPr>
          <w:tblHeader/>
        </w:trPr>
        <w:tc>
          <w:tcPr>
            <w:tcW w:w="9054" w:type="dxa"/>
            <w:gridSpan w:val="5"/>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eastAsia="Times New Roman" w:hAnsi="Arial" w:cs="Arial"/>
                <w:b/>
                <w:bCs/>
                <w:color w:val="000000"/>
                <w:sz w:val="36"/>
                <w:szCs w:val="36"/>
                <w:lang w:eastAsia="es-MX"/>
              </w:rPr>
            </w:pPr>
            <w:r>
              <w:rPr>
                <w:rFonts w:ascii="Arial" w:eastAsia="Times New Roman" w:hAnsi="Arial" w:cs="Arial"/>
                <w:b/>
                <w:bCs/>
                <w:color w:val="000000"/>
                <w:sz w:val="36"/>
                <w:szCs w:val="36"/>
                <w:lang w:eastAsia="es-MX"/>
              </w:rPr>
              <w:t>Formato para exposición motivos</w:t>
            </w:r>
          </w:p>
        </w:tc>
      </w:tr>
      <w:tr w:rsidR="00F824C4" w:rsidTr="009102BF">
        <w:trPr>
          <w:tblHeader/>
        </w:trPr>
        <w:tc>
          <w:tcPr>
            <w:tcW w:w="294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rsidR="009102BF" w:rsidRDefault="009102BF">
            <w:pPr>
              <w:spacing w:line="240" w:lineRule="auto"/>
              <w:jc w:val="center"/>
              <w:rPr>
                <w:rFonts w:ascii="Arial" w:eastAsia="Times New Roman" w:hAnsi="Arial" w:cs="Arial"/>
                <w:color w:val="000000"/>
                <w:lang w:eastAsia="es-MX"/>
              </w:rPr>
            </w:pPr>
            <w:r>
              <w:rPr>
                <w:rFonts w:ascii="Arial" w:eastAsia="Times New Roman" w:hAnsi="Arial" w:cs="Arial"/>
                <w:color w:val="000000"/>
                <w:lang w:eastAsia="es-MX"/>
              </w:rPr>
              <w:t>Municipio</w:t>
            </w:r>
          </w:p>
        </w:tc>
        <w:tc>
          <w:tcPr>
            <w:tcW w:w="1172" w:type="dxa"/>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102BF" w:rsidRDefault="009102BF">
            <w:pPr>
              <w:spacing w:line="240" w:lineRule="auto"/>
              <w:rPr>
                <w:rFonts w:ascii="Arial" w:eastAsia="Times New Roman" w:hAnsi="Arial" w:cs="Arial"/>
                <w:color w:val="000000"/>
                <w:sz w:val="20"/>
                <w:szCs w:val="20"/>
                <w:lang w:eastAsia="es-MX"/>
              </w:rPr>
            </w:pPr>
            <w:r>
              <w:rPr>
                <w:rFonts w:ascii="Arial" w:eastAsia="Times New Roman" w:hAnsi="Arial" w:cs="Arial"/>
                <w:color w:val="000000"/>
                <w:sz w:val="16"/>
                <w:szCs w:val="16"/>
                <w:lang w:eastAsia="es-MX"/>
              </w:rPr>
              <w:t>Poner los datos de ubicación en relación a la iniciativa</w:t>
            </w:r>
          </w:p>
        </w:tc>
        <w:tc>
          <w:tcPr>
            <w:tcW w:w="123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102BF" w:rsidRDefault="009102BF">
            <w:pPr>
              <w:spacing w:line="240" w:lineRule="auto"/>
              <w:jc w:val="center"/>
              <w:rPr>
                <w:rFonts w:ascii="Arial" w:eastAsia="Times New Roman" w:hAnsi="Arial" w:cs="Arial"/>
                <w:color w:val="000000"/>
                <w:sz w:val="14"/>
                <w:szCs w:val="18"/>
                <w:lang w:eastAsia="es-MX"/>
              </w:rPr>
            </w:pPr>
            <w:r>
              <w:rPr>
                <w:rFonts w:ascii="Arial" w:eastAsia="Times New Roman" w:hAnsi="Arial" w:cs="Arial"/>
                <w:color w:val="000000"/>
                <w:sz w:val="14"/>
                <w:szCs w:val="18"/>
                <w:lang w:eastAsia="es-MX"/>
              </w:rPr>
              <w:t>Artículo</w:t>
            </w:r>
          </w:p>
        </w:tc>
        <w:tc>
          <w:tcPr>
            <w:tcW w:w="10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102BF" w:rsidRDefault="00875410">
            <w:pPr>
              <w:spacing w:line="240" w:lineRule="auto"/>
              <w:jc w:val="center"/>
              <w:rPr>
                <w:rFonts w:ascii="Arial" w:eastAsia="Times New Roman" w:hAnsi="Arial" w:cs="Arial"/>
                <w:b/>
                <w:color w:val="0070C0"/>
                <w:sz w:val="16"/>
                <w:szCs w:val="16"/>
                <w:lang w:eastAsia="es-MX"/>
              </w:rPr>
            </w:pPr>
            <w:r>
              <w:rPr>
                <w:rFonts w:ascii="Arial" w:eastAsia="Times New Roman" w:hAnsi="Arial" w:cs="Arial"/>
                <w:b/>
                <w:color w:val="0070C0"/>
                <w:sz w:val="16"/>
                <w:szCs w:val="16"/>
                <w:lang w:eastAsia="es-MX"/>
              </w:rPr>
              <w:t>7</w:t>
            </w:r>
          </w:p>
        </w:tc>
        <w:tc>
          <w:tcPr>
            <w:tcW w:w="268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rsidR="009102BF" w:rsidRDefault="009102BF">
            <w:pPr>
              <w:spacing w:line="240" w:lineRule="auto"/>
              <w:jc w:val="center"/>
              <w:rPr>
                <w:rFonts w:ascii="Arial" w:eastAsia="Times New Roman" w:hAnsi="Arial" w:cs="Arial"/>
                <w:color w:val="000000"/>
                <w:sz w:val="16"/>
                <w:szCs w:val="16"/>
                <w:lang w:eastAsia="es-MX"/>
              </w:rPr>
            </w:pPr>
            <w:r>
              <w:rPr>
                <w:rFonts w:ascii="Arial" w:eastAsia="Times New Roman" w:hAnsi="Arial" w:cs="Arial"/>
                <w:color w:val="000000"/>
                <w:sz w:val="16"/>
                <w:szCs w:val="16"/>
                <w:lang w:eastAsia="es-MX"/>
              </w:rPr>
              <w:t>Concepto de cobro</w:t>
            </w:r>
          </w:p>
        </w:tc>
      </w:tr>
      <w:tr w:rsidR="009102BF" w:rsidTr="009102BF">
        <w:trPr>
          <w:trHeight w:val="420"/>
          <w:tblHeader/>
        </w:trPr>
        <w:tc>
          <w:tcPr>
            <w:tcW w:w="2943" w:type="dxa"/>
            <w:vMerge w:val="restart"/>
            <w:tcBorders>
              <w:top w:val="single" w:sz="4" w:space="0" w:color="auto"/>
              <w:left w:val="single" w:sz="4" w:space="0" w:color="auto"/>
              <w:bottom w:val="single" w:sz="4" w:space="0" w:color="auto"/>
              <w:right w:val="single" w:sz="4" w:space="0" w:color="auto"/>
            </w:tcBorders>
            <w:vAlign w:val="center"/>
            <w:hideMark/>
          </w:tcPr>
          <w:p w:rsidR="009102BF" w:rsidRDefault="009102BF">
            <w:pPr>
              <w:spacing w:line="240" w:lineRule="auto"/>
              <w:jc w:val="center"/>
              <w:rPr>
                <w:rFonts w:ascii="Arial" w:eastAsia="Times New Roman" w:hAnsi="Arial" w:cs="Arial"/>
                <w:color w:val="000000"/>
                <w:sz w:val="16"/>
                <w:szCs w:val="16"/>
                <w:lang w:eastAsia="es-MX"/>
              </w:rPr>
            </w:pPr>
            <w:r>
              <w:rPr>
                <w:rFonts w:ascii="Arial" w:eastAsia="Times New Roman" w:hAnsi="Arial" w:cs="Arial"/>
                <w:color w:val="000000"/>
                <w:sz w:val="16"/>
                <w:szCs w:val="16"/>
                <w:lang w:eastAsia="es-MX"/>
              </w:rPr>
              <w:t>Guanajuato, Guanajuato</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102BF" w:rsidRDefault="009102BF">
            <w:pPr>
              <w:spacing w:line="240" w:lineRule="auto"/>
              <w:rPr>
                <w:rFonts w:ascii="Arial" w:eastAsia="Times New Roman" w:hAnsi="Arial" w:cs="Arial"/>
                <w:color w:val="000000"/>
                <w:sz w:val="20"/>
                <w:szCs w:val="20"/>
                <w:lang w:eastAsia="es-MX"/>
              </w:rPr>
            </w:pPr>
          </w:p>
        </w:tc>
        <w:tc>
          <w:tcPr>
            <w:tcW w:w="123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102BF" w:rsidRDefault="009102BF">
            <w:pPr>
              <w:spacing w:line="240" w:lineRule="auto"/>
              <w:jc w:val="center"/>
              <w:rPr>
                <w:rFonts w:ascii="Arial" w:eastAsia="Times New Roman" w:hAnsi="Arial" w:cs="Arial"/>
                <w:color w:val="000000"/>
                <w:sz w:val="14"/>
                <w:szCs w:val="18"/>
                <w:lang w:eastAsia="es-MX"/>
              </w:rPr>
            </w:pPr>
            <w:r>
              <w:rPr>
                <w:rFonts w:ascii="Arial" w:eastAsia="Times New Roman" w:hAnsi="Arial" w:cs="Arial"/>
                <w:color w:val="000000"/>
                <w:sz w:val="14"/>
                <w:szCs w:val="18"/>
                <w:lang w:eastAsia="es-MX"/>
              </w:rPr>
              <w:t>Fracción</w:t>
            </w:r>
          </w:p>
        </w:tc>
        <w:tc>
          <w:tcPr>
            <w:tcW w:w="1021" w:type="dxa"/>
            <w:tcBorders>
              <w:top w:val="single" w:sz="4" w:space="0" w:color="auto"/>
              <w:left w:val="single" w:sz="4" w:space="0" w:color="auto"/>
              <w:bottom w:val="single" w:sz="4" w:space="0" w:color="auto"/>
              <w:right w:val="single" w:sz="4" w:space="0" w:color="auto"/>
            </w:tcBorders>
            <w:vAlign w:val="center"/>
            <w:hideMark/>
          </w:tcPr>
          <w:p w:rsidR="009102BF" w:rsidRDefault="00875410">
            <w:pPr>
              <w:spacing w:line="240" w:lineRule="auto"/>
              <w:jc w:val="center"/>
              <w:rPr>
                <w:rFonts w:ascii="Arial" w:eastAsia="Times New Roman" w:hAnsi="Arial" w:cs="Arial"/>
                <w:b/>
                <w:color w:val="0070C0"/>
                <w:sz w:val="16"/>
                <w:szCs w:val="16"/>
                <w:lang w:eastAsia="es-MX"/>
              </w:rPr>
            </w:pPr>
            <w:r>
              <w:rPr>
                <w:rFonts w:ascii="Arial" w:eastAsia="Times New Roman" w:hAnsi="Arial" w:cs="Arial"/>
                <w:b/>
                <w:color w:val="0070C0"/>
                <w:sz w:val="16"/>
                <w:szCs w:val="16"/>
                <w:lang w:eastAsia="es-MX"/>
              </w:rPr>
              <w:t>ÚNICA</w:t>
            </w:r>
          </w:p>
        </w:tc>
        <w:tc>
          <w:tcPr>
            <w:tcW w:w="2680" w:type="dxa"/>
            <w:vMerge w:val="restart"/>
            <w:tcBorders>
              <w:top w:val="single" w:sz="4" w:space="0" w:color="auto"/>
              <w:left w:val="single" w:sz="4" w:space="0" w:color="auto"/>
              <w:bottom w:val="single" w:sz="4" w:space="0" w:color="auto"/>
              <w:right w:val="single" w:sz="4" w:space="0" w:color="auto"/>
            </w:tcBorders>
            <w:vAlign w:val="center"/>
            <w:hideMark/>
          </w:tcPr>
          <w:p w:rsidR="009102BF" w:rsidRDefault="00875410">
            <w:pPr>
              <w:spacing w:line="240" w:lineRule="auto"/>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IMPUESTO SOBRE ADQUISICIÓN DE BIENES INMUEBLES</w:t>
            </w:r>
          </w:p>
        </w:tc>
      </w:tr>
      <w:tr w:rsidR="009102BF" w:rsidTr="009102BF">
        <w:trPr>
          <w:trHeight w:val="2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102BF" w:rsidRDefault="009102BF">
            <w:pPr>
              <w:spacing w:line="240" w:lineRule="auto"/>
              <w:rPr>
                <w:rFonts w:ascii="Arial" w:eastAsia="Times New Roman" w:hAnsi="Arial" w:cs="Arial"/>
                <w:color w:val="00000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102BF" w:rsidRDefault="009102BF">
            <w:pPr>
              <w:spacing w:line="240" w:lineRule="auto"/>
              <w:rPr>
                <w:rFonts w:ascii="Arial" w:eastAsia="Times New Roman" w:hAnsi="Arial" w:cs="Arial"/>
                <w:color w:val="000000"/>
                <w:sz w:val="20"/>
                <w:szCs w:val="20"/>
                <w:lang w:eastAsia="es-MX"/>
              </w:rPr>
            </w:pPr>
          </w:p>
        </w:tc>
        <w:tc>
          <w:tcPr>
            <w:tcW w:w="123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102BF" w:rsidRDefault="009102BF">
            <w:pPr>
              <w:spacing w:line="240" w:lineRule="auto"/>
              <w:jc w:val="center"/>
              <w:rPr>
                <w:rFonts w:ascii="Arial" w:eastAsia="Times New Roman" w:hAnsi="Arial" w:cs="Arial"/>
                <w:color w:val="000000"/>
                <w:sz w:val="14"/>
                <w:szCs w:val="18"/>
                <w:lang w:eastAsia="es-MX"/>
              </w:rPr>
            </w:pPr>
            <w:r>
              <w:rPr>
                <w:rFonts w:ascii="Arial" w:eastAsia="Times New Roman" w:hAnsi="Arial" w:cs="Arial"/>
                <w:color w:val="000000"/>
                <w:sz w:val="14"/>
                <w:szCs w:val="18"/>
                <w:lang w:eastAsia="es-MX"/>
              </w:rPr>
              <w:t>Inciso</w:t>
            </w:r>
          </w:p>
        </w:tc>
        <w:tc>
          <w:tcPr>
            <w:tcW w:w="1021" w:type="dxa"/>
            <w:tcBorders>
              <w:top w:val="single" w:sz="4" w:space="0" w:color="auto"/>
              <w:left w:val="single" w:sz="4" w:space="0" w:color="auto"/>
              <w:bottom w:val="single" w:sz="4" w:space="0" w:color="auto"/>
              <w:right w:val="single" w:sz="4" w:space="0" w:color="auto"/>
            </w:tcBorders>
            <w:vAlign w:val="center"/>
          </w:tcPr>
          <w:p w:rsidR="009102BF" w:rsidRDefault="009102BF">
            <w:pPr>
              <w:spacing w:line="240" w:lineRule="auto"/>
              <w:jc w:val="center"/>
              <w:rPr>
                <w:rFonts w:ascii="Arial" w:eastAsia="Times New Roman" w:hAnsi="Arial" w:cs="Arial"/>
                <w:b/>
                <w:color w:val="0070C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102BF" w:rsidRDefault="009102BF">
            <w:pPr>
              <w:spacing w:line="240" w:lineRule="auto"/>
              <w:rPr>
                <w:rFonts w:ascii="Arial" w:eastAsia="Times New Roman" w:hAnsi="Arial" w:cs="Arial"/>
                <w:color w:val="000000"/>
                <w:sz w:val="20"/>
                <w:szCs w:val="20"/>
                <w:lang w:eastAsia="es-MX"/>
              </w:rPr>
            </w:pPr>
          </w:p>
        </w:tc>
      </w:tr>
      <w:tr w:rsidR="009102BF" w:rsidTr="009102BF">
        <w:trPr>
          <w:trHeight w:val="2042"/>
        </w:trPr>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r>
              <w:rPr>
                <w:rFonts w:ascii="Arial" w:hAnsi="Arial" w:cs="Arial"/>
              </w:rPr>
              <w:t>Situación actual del hecho generador:</w:t>
            </w:r>
          </w:p>
          <w:p w:rsidR="009102BF" w:rsidRDefault="009102BF">
            <w:pPr>
              <w:spacing w:line="240" w:lineRule="auto"/>
              <w:rPr>
                <w:rFonts w:ascii="Arial" w:hAnsi="Arial" w:cs="Arial"/>
              </w:rPr>
            </w:pPr>
          </w:p>
          <w:p w:rsidR="009102BF" w:rsidRDefault="009102BF">
            <w:pPr>
              <w:pStyle w:val="Prrafodelista"/>
              <w:spacing w:line="240" w:lineRule="auto"/>
              <w:ind w:left="34"/>
              <w:jc w:val="center"/>
              <w:rPr>
                <w:rFonts w:ascii="Arial" w:hAnsi="Arial" w:cs="Arial"/>
              </w:rPr>
            </w:pPr>
            <w:r>
              <w:rPr>
                <w:rFonts w:ascii="Arial" w:hAnsi="Arial" w:cs="Arial"/>
                <w:color w:val="222222"/>
                <w:shd w:val="clear" w:color="auto" w:fill="FFFFFF"/>
              </w:rPr>
              <w:t>*</w:t>
            </w:r>
            <w:r>
              <w:rPr>
                <w:rFonts w:ascii="Arial" w:hAnsi="Arial" w:cs="Arial"/>
              </w:rPr>
              <w:t>Es la circunstancia o condición que da nacimiento a la obligación tributaria.</w:t>
            </w:r>
          </w:p>
          <w:p w:rsidR="009102BF" w:rsidRDefault="009102BF">
            <w:pPr>
              <w:spacing w:line="240" w:lineRule="auto"/>
              <w:rPr>
                <w:rFonts w:ascii="Arial" w:hAnsi="Arial" w:cs="Arial"/>
              </w:rPr>
            </w:pPr>
          </w:p>
          <w:p w:rsidR="009102BF" w:rsidRDefault="009102BF">
            <w:pPr>
              <w:spacing w:line="240" w:lineRule="auto"/>
              <w:rPr>
                <w:rFonts w:ascii="Arial" w:hAnsi="Arial" w:cs="Arial"/>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8F5D3C">
            <w:pPr>
              <w:tabs>
                <w:tab w:val="left" w:pos="1578"/>
              </w:tabs>
              <w:spacing w:line="240" w:lineRule="auto"/>
              <w:jc w:val="both"/>
              <w:rPr>
                <w:rFonts w:ascii="Arial" w:eastAsia="Times New Roman" w:hAnsi="Arial" w:cs="Arial"/>
                <w:sz w:val="20"/>
                <w:szCs w:val="20"/>
                <w:lang w:eastAsia="es-MX"/>
              </w:rPr>
            </w:pPr>
            <w:r>
              <w:rPr>
                <w:rFonts w:ascii="Arial" w:eastAsia="Times New Roman" w:hAnsi="Arial" w:cs="Arial"/>
                <w:sz w:val="20"/>
                <w:szCs w:val="20"/>
                <w:lang w:eastAsia="es-MX"/>
              </w:rPr>
              <w:t xml:space="preserve">Derivado del </w:t>
            </w:r>
            <w:r w:rsidR="00C31B79">
              <w:rPr>
                <w:rFonts w:ascii="Arial" w:eastAsia="Times New Roman" w:hAnsi="Arial" w:cs="Arial"/>
                <w:sz w:val="20"/>
                <w:szCs w:val="20"/>
                <w:lang w:eastAsia="es-MX"/>
              </w:rPr>
              <w:t>Artículo</w:t>
            </w:r>
            <w:r>
              <w:rPr>
                <w:rFonts w:ascii="Arial" w:eastAsia="Times New Roman" w:hAnsi="Arial" w:cs="Arial"/>
                <w:sz w:val="20"/>
                <w:szCs w:val="20"/>
                <w:lang w:eastAsia="es-MX"/>
              </w:rPr>
              <w:t xml:space="preserve"> de 2 de la Ley de Hacienda para los municipios del Estado de Guanajuato. Fracción I inciso A) Son contribuciones: los Impuestos, derechos y contribuciones especiales.</w:t>
            </w:r>
          </w:p>
          <w:p w:rsidR="009102BF" w:rsidRDefault="00C31B79" w:rsidP="00F824C4">
            <w:pPr>
              <w:tabs>
                <w:tab w:val="left" w:pos="1578"/>
              </w:tabs>
              <w:spacing w:line="360" w:lineRule="auto"/>
              <w:jc w:val="both"/>
              <w:rPr>
                <w:rFonts w:ascii="Arial" w:eastAsia="Times New Roman" w:hAnsi="Arial" w:cs="Arial"/>
                <w:sz w:val="20"/>
                <w:szCs w:val="20"/>
                <w:lang w:eastAsia="es-MX"/>
              </w:rPr>
            </w:pPr>
            <w:r>
              <w:rPr>
                <w:rFonts w:ascii="Arial" w:eastAsia="Times New Roman" w:hAnsi="Arial" w:cs="Arial"/>
                <w:sz w:val="20"/>
                <w:szCs w:val="20"/>
                <w:lang w:eastAsia="es-MX"/>
              </w:rPr>
              <w:t xml:space="preserve">Y que en la Ley de Ingresos para el Municipio de Guanajuato, Guanajuato, para el ejercicio fiscal del año 2018, se indica en el Artículo 7- El impuesto sobre adquisición de bienes inmuebles se causará y liquidará </w:t>
            </w:r>
            <w:r w:rsidR="007E63E5">
              <w:rPr>
                <w:rFonts w:ascii="Arial" w:eastAsia="Times New Roman" w:hAnsi="Arial" w:cs="Arial"/>
                <w:sz w:val="20"/>
                <w:szCs w:val="20"/>
                <w:lang w:eastAsia="es-MX"/>
              </w:rPr>
              <w:t>de acuerdo a la tabla progresiva siguiente:</w:t>
            </w:r>
            <w:r w:rsidR="007E63E5">
              <w:rPr>
                <w:noProof/>
                <w:lang w:eastAsia="es-MX"/>
              </w:rPr>
              <w:drawing>
                <wp:inline distT="0" distB="0" distL="0" distR="0" wp14:anchorId="57E4AD3B" wp14:editId="7AD68912">
                  <wp:extent cx="3682484" cy="12096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5822" t="41977" r="61042" b="38671"/>
                          <a:stretch/>
                        </pic:blipFill>
                        <pic:spPr bwMode="auto">
                          <a:xfrm>
                            <a:off x="0" y="0"/>
                            <a:ext cx="3686935" cy="1211137"/>
                          </a:xfrm>
                          <a:prstGeom prst="rect">
                            <a:avLst/>
                          </a:prstGeom>
                          <a:ln>
                            <a:noFill/>
                          </a:ln>
                          <a:extLst>
                            <a:ext uri="{53640926-AAD7-44D8-BBD7-CCE9431645EC}">
                              <a14:shadowObscured xmlns:a14="http://schemas.microsoft.com/office/drawing/2010/main"/>
                            </a:ext>
                          </a:extLst>
                        </pic:spPr>
                      </pic:pic>
                    </a:graphicData>
                  </a:graphic>
                </wp:inline>
              </w:drawing>
            </w: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9102BF">
            <w:pPr>
              <w:spacing w:line="240" w:lineRule="auto"/>
              <w:jc w:val="both"/>
              <w:rPr>
                <w:rFonts w:ascii="Arial" w:eastAsia="Times New Roman" w:hAnsi="Arial" w:cs="Arial"/>
                <w:color w:val="000000"/>
                <w:sz w:val="20"/>
                <w:szCs w:val="20"/>
                <w:lang w:eastAsia="es-MX"/>
              </w:rPr>
            </w:pPr>
          </w:p>
        </w:tc>
      </w:tr>
      <w:tr w:rsidR="009102BF" w:rsidTr="009102BF">
        <w:tc>
          <w:tcPr>
            <w:tcW w:w="9054" w:type="dxa"/>
            <w:gridSpan w:val="5"/>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rPr>
            </w:pPr>
            <w:r>
              <w:rPr>
                <w:rFonts w:ascii="Arial" w:hAnsi="Arial" w:cs="Arial"/>
                <w:b/>
              </w:rPr>
              <w:t>Nuevo incremento sobre la contribución:</w:t>
            </w: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b/>
              </w:rPr>
            </w:pPr>
            <w:r>
              <w:rPr>
                <w:rFonts w:ascii="Arial" w:hAnsi="Arial" w:cs="Arial"/>
                <w:b/>
              </w:rPr>
              <w:t>Tasa o tarifa actual:</w:t>
            </w:r>
          </w:p>
          <w:p w:rsidR="009102BF" w:rsidRDefault="009102BF">
            <w:pPr>
              <w:spacing w:line="240" w:lineRule="auto"/>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 Las contenidas en la Ley vigente</w:t>
            </w:r>
          </w:p>
          <w:p w:rsidR="009102BF" w:rsidRDefault="009102BF">
            <w:pPr>
              <w:spacing w:line="240" w:lineRule="auto"/>
              <w:rPr>
                <w:rFonts w:ascii="Arial" w:eastAsia="Times New Roman" w:hAnsi="Arial" w:cs="Arial"/>
                <w:color w:val="000000"/>
                <w:sz w:val="20"/>
                <w:szCs w:val="20"/>
                <w:lang w:eastAsia="es-MX"/>
              </w:rPr>
            </w:pPr>
          </w:p>
          <w:p w:rsidR="00C31B79" w:rsidRDefault="00C31B79" w:rsidP="00C31B79">
            <w:pPr>
              <w:tabs>
                <w:tab w:val="left" w:pos="1578"/>
              </w:tabs>
              <w:spacing w:line="360" w:lineRule="auto"/>
              <w:jc w:val="both"/>
              <w:rPr>
                <w:rFonts w:ascii="Arial" w:eastAsia="Times New Roman" w:hAnsi="Arial" w:cs="Arial"/>
                <w:sz w:val="20"/>
                <w:szCs w:val="20"/>
                <w:lang w:eastAsia="es-MX"/>
              </w:rPr>
            </w:pPr>
            <w:r>
              <w:rPr>
                <w:rFonts w:ascii="Arial" w:eastAsia="Times New Roman" w:hAnsi="Arial" w:cs="Arial"/>
                <w:sz w:val="20"/>
                <w:szCs w:val="20"/>
                <w:lang w:eastAsia="es-MX"/>
              </w:rPr>
              <w:t xml:space="preserve">Artículo 7- El impuesto sobre adquisición de bienes inmuebles se causará y liquidará </w:t>
            </w:r>
            <w:r w:rsidR="007E63E5">
              <w:rPr>
                <w:rFonts w:ascii="Arial" w:eastAsia="Times New Roman" w:hAnsi="Arial" w:cs="Arial"/>
                <w:sz w:val="20"/>
                <w:szCs w:val="20"/>
                <w:lang w:eastAsia="es-MX"/>
              </w:rPr>
              <w:t>de acuerdo a la tabla progresiva:</w:t>
            </w:r>
          </w:p>
          <w:p w:rsidR="009102BF" w:rsidRDefault="007E63E5">
            <w:pPr>
              <w:spacing w:line="240" w:lineRule="auto"/>
              <w:rPr>
                <w:rFonts w:ascii="Arial" w:hAnsi="Arial" w:cs="Arial"/>
                <w:b/>
              </w:rPr>
            </w:pPr>
            <w:r>
              <w:rPr>
                <w:noProof/>
                <w:lang w:eastAsia="es-MX"/>
              </w:rPr>
              <w:drawing>
                <wp:inline distT="0" distB="0" distL="0" distR="0" wp14:anchorId="566BD0FE" wp14:editId="013D88A7">
                  <wp:extent cx="1914525" cy="120967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BEBA8EAE-BF5A-486C-A8C5-ECC9F3942E4B}">
                                <a14:imgProps xmlns:a14="http://schemas.microsoft.com/office/drawing/2010/main">
                                  <a14:imgLayer r:embed="rId10">
                                    <a14:imgEffect>
                                      <a14:sharpenSoften amount="50000"/>
                                    </a14:imgEffect>
                                  </a14:imgLayer>
                                </a14:imgProps>
                              </a:ext>
                            </a:extLst>
                          </a:blip>
                          <a:srcRect l="5822" t="41977" r="61042" b="38671"/>
                          <a:stretch/>
                        </pic:blipFill>
                        <pic:spPr bwMode="auto">
                          <a:xfrm>
                            <a:off x="0" y="0"/>
                            <a:ext cx="1916839" cy="1211137"/>
                          </a:xfrm>
                          <a:prstGeom prst="rect">
                            <a:avLst/>
                          </a:prstGeom>
                          <a:ln>
                            <a:noFill/>
                          </a:ln>
                          <a:extLst>
                            <a:ext uri="{53640926-AAD7-44D8-BBD7-CCE9431645EC}">
                              <a14:shadowObscured xmlns:a14="http://schemas.microsoft.com/office/drawing/2010/main"/>
                            </a:ext>
                          </a:extLst>
                        </pic:spPr>
                      </pic:pic>
                    </a:graphicData>
                  </a:graphic>
                </wp:inline>
              </w:drawing>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b/>
              </w:rPr>
            </w:pPr>
            <w:r>
              <w:rPr>
                <w:rFonts w:ascii="Arial" w:hAnsi="Arial" w:cs="Arial"/>
                <w:b/>
              </w:rPr>
              <w:t>Tasa o tarifa propuesta:</w:t>
            </w:r>
          </w:p>
          <w:tbl>
            <w:tblPr>
              <w:tblW w:w="5000" w:type="pct"/>
              <w:tblCellMar>
                <w:left w:w="70" w:type="dxa"/>
                <w:right w:w="70" w:type="dxa"/>
              </w:tblCellMar>
              <w:tblLook w:val="04A0" w:firstRow="1" w:lastRow="0" w:firstColumn="1" w:lastColumn="0" w:noHBand="0" w:noVBand="1"/>
            </w:tblPr>
            <w:tblGrid>
              <w:gridCol w:w="5560"/>
              <w:gridCol w:w="146"/>
            </w:tblGrid>
            <w:tr w:rsidR="009102BF" w:rsidTr="00C31B79">
              <w:trPr>
                <w:trHeight w:val="300"/>
              </w:trPr>
              <w:tc>
                <w:tcPr>
                  <w:tcW w:w="4030" w:type="pct"/>
                  <w:vAlign w:val="bottom"/>
                  <w:hideMark/>
                </w:tcPr>
                <w:p w:rsidR="009102BF" w:rsidRDefault="00C31B79" w:rsidP="00EA3E6C">
                  <w:pPr>
                    <w:spacing w:after="0" w:line="240" w:lineRule="auto"/>
                    <w:rPr>
                      <w:rFonts w:ascii="Arial" w:eastAsia="Times New Roman" w:hAnsi="Arial" w:cs="Arial"/>
                      <w:color w:val="000000"/>
                      <w:sz w:val="20"/>
                      <w:szCs w:val="24"/>
                      <w:lang w:eastAsia="es-MX"/>
                    </w:rPr>
                  </w:pPr>
                  <w:r w:rsidRPr="00EA3E6C">
                    <w:rPr>
                      <w:rFonts w:ascii="Arial" w:eastAsia="Times New Roman" w:hAnsi="Arial" w:cs="Arial"/>
                      <w:color w:val="000000"/>
                      <w:sz w:val="20"/>
                      <w:szCs w:val="24"/>
                      <w:lang w:eastAsia="es-MX"/>
                    </w:rPr>
                    <w:t xml:space="preserve">Se propone </w:t>
                  </w:r>
                  <w:r w:rsidR="007E63E5">
                    <w:rPr>
                      <w:rFonts w:ascii="Arial" w:eastAsia="Times New Roman" w:hAnsi="Arial" w:cs="Arial"/>
                      <w:color w:val="000000"/>
                      <w:sz w:val="20"/>
                      <w:szCs w:val="24"/>
                      <w:lang w:eastAsia="es-MX"/>
                    </w:rPr>
                    <w:t>un incremento en la</w:t>
                  </w:r>
                  <w:r w:rsidRPr="00EA3E6C">
                    <w:rPr>
                      <w:rFonts w:ascii="Arial" w:eastAsia="Times New Roman" w:hAnsi="Arial" w:cs="Arial"/>
                      <w:color w:val="000000"/>
                      <w:sz w:val="20"/>
                      <w:szCs w:val="24"/>
                      <w:lang w:eastAsia="es-MX"/>
                    </w:rPr>
                    <w:t xml:space="preserve"> tabla de porcentajes progresivos de acuerdo a los rangos  de valores que, estadísticamente, nos indican que no se perjudica al contribuyente, estableciendo un porcentaje creciente según el monto y considerando el subsidio promedio de 1</w:t>
                  </w:r>
                  <w:r w:rsidR="00EA3E6C">
                    <w:rPr>
                      <w:rFonts w:ascii="Arial" w:eastAsia="Times New Roman" w:hAnsi="Arial" w:cs="Arial"/>
                      <w:color w:val="000000"/>
                      <w:sz w:val="20"/>
                      <w:szCs w:val="24"/>
                      <w:lang w:eastAsia="es-MX"/>
                    </w:rPr>
                    <w:t>5</w:t>
                  </w:r>
                  <w:r w:rsidRPr="00EA3E6C">
                    <w:rPr>
                      <w:rFonts w:ascii="Arial" w:eastAsia="Times New Roman" w:hAnsi="Arial" w:cs="Arial"/>
                      <w:color w:val="000000"/>
                      <w:sz w:val="20"/>
                      <w:szCs w:val="24"/>
                      <w:lang w:eastAsia="es-MX"/>
                    </w:rPr>
                    <w:t xml:space="preserve"> UMA elevado al año</w:t>
                  </w:r>
                  <w:r w:rsidR="00007643" w:rsidRPr="00EA3E6C">
                    <w:rPr>
                      <w:rFonts w:ascii="Arial" w:eastAsia="Times New Roman" w:hAnsi="Arial" w:cs="Arial"/>
                      <w:color w:val="000000"/>
                      <w:sz w:val="20"/>
                      <w:szCs w:val="24"/>
                      <w:lang w:eastAsia="es-MX"/>
                    </w:rPr>
                    <w:t xml:space="preserve">. </w:t>
                  </w:r>
                </w:p>
                <w:p w:rsidR="00B07B15" w:rsidRPr="00644501" w:rsidRDefault="00644501" w:rsidP="003B3D22">
                  <w:pPr>
                    <w:spacing w:after="0" w:line="240" w:lineRule="auto"/>
                    <w:rPr>
                      <w:rFonts w:ascii="Arial" w:eastAsia="Times New Roman" w:hAnsi="Arial" w:cs="Arial"/>
                      <w:color w:val="000000"/>
                      <w:sz w:val="20"/>
                      <w:szCs w:val="24"/>
                      <w:lang w:eastAsia="es-MX"/>
                    </w:rPr>
                  </w:pPr>
                  <w:r>
                    <w:rPr>
                      <w:rFonts w:ascii="Arial" w:eastAsia="Times New Roman" w:hAnsi="Arial" w:cs="Arial"/>
                      <w:color w:val="000000"/>
                      <w:sz w:val="20"/>
                      <w:szCs w:val="24"/>
                      <w:lang w:eastAsia="es-MX"/>
                    </w:rPr>
                    <w:t>Por lo que se</w:t>
                  </w:r>
                  <w:r w:rsidR="00B07B15" w:rsidRPr="00644501">
                    <w:rPr>
                      <w:rFonts w:ascii="Arial" w:eastAsia="Times New Roman" w:hAnsi="Arial" w:cs="Arial"/>
                      <w:color w:val="000000"/>
                      <w:sz w:val="20"/>
                      <w:szCs w:val="24"/>
                      <w:lang w:eastAsia="es-MX"/>
                    </w:rPr>
                    <w:t xml:space="preserve"> presenta </w:t>
                  </w:r>
                  <w:r w:rsidR="007E63E5">
                    <w:rPr>
                      <w:rFonts w:ascii="Arial" w:eastAsia="Times New Roman" w:hAnsi="Arial" w:cs="Arial"/>
                      <w:color w:val="000000"/>
                      <w:sz w:val="20"/>
                      <w:szCs w:val="24"/>
                      <w:lang w:eastAsia="es-MX"/>
                    </w:rPr>
                    <w:t>en los porcentajes de la</w:t>
                  </w:r>
                  <w:r w:rsidR="00B07B15" w:rsidRPr="00644501">
                    <w:rPr>
                      <w:rFonts w:ascii="Arial" w:eastAsia="Times New Roman" w:hAnsi="Arial" w:cs="Arial"/>
                      <w:color w:val="000000"/>
                      <w:sz w:val="20"/>
                      <w:szCs w:val="24"/>
                      <w:lang w:eastAsia="es-MX"/>
                    </w:rPr>
                    <w:t xml:space="preserve"> tabla progresiva  en referencia a la contribución, </w:t>
                  </w:r>
                  <w:r w:rsidR="003B3D22">
                    <w:rPr>
                      <w:rFonts w:ascii="Arial" w:eastAsia="Times New Roman" w:hAnsi="Arial" w:cs="Arial"/>
                      <w:color w:val="000000"/>
                      <w:sz w:val="20"/>
                      <w:szCs w:val="24"/>
                      <w:lang w:eastAsia="es-MX"/>
                    </w:rPr>
                    <w:t>en los</w:t>
                  </w:r>
                  <w:r w:rsidR="00B07B15" w:rsidRPr="00644501">
                    <w:rPr>
                      <w:rFonts w:ascii="Arial" w:eastAsia="Times New Roman" w:hAnsi="Arial" w:cs="Arial"/>
                      <w:color w:val="000000"/>
                      <w:sz w:val="20"/>
                      <w:szCs w:val="24"/>
                      <w:lang w:eastAsia="es-MX"/>
                    </w:rPr>
                    <w:t xml:space="preserve"> cinco rangos de tasas que van desde 0.</w:t>
                  </w:r>
                  <w:r w:rsidR="003B3D22">
                    <w:rPr>
                      <w:rFonts w:ascii="Arial" w:eastAsia="Times New Roman" w:hAnsi="Arial" w:cs="Arial"/>
                      <w:color w:val="000000"/>
                      <w:sz w:val="20"/>
                      <w:szCs w:val="24"/>
                      <w:lang w:eastAsia="es-MX"/>
                    </w:rPr>
                    <w:t>45</w:t>
                  </w:r>
                  <w:r w:rsidR="00B07B15" w:rsidRPr="00644501">
                    <w:rPr>
                      <w:rFonts w:ascii="Arial" w:eastAsia="Times New Roman" w:hAnsi="Arial" w:cs="Arial"/>
                      <w:color w:val="000000"/>
                      <w:sz w:val="20"/>
                      <w:szCs w:val="24"/>
                      <w:lang w:eastAsia="es-MX"/>
                    </w:rPr>
                    <w:t>%</w:t>
                  </w:r>
                  <w:r w:rsidR="003B3D22">
                    <w:rPr>
                      <w:rFonts w:ascii="Arial" w:eastAsia="Times New Roman" w:hAnsi="Arial" w:cs="Arial"/>
                      <w:color w:val="000000"/>
                      <w:sz w:val="20"/>
                      <w:szCs w:val="24"/>
                      <w:lang w:eastAsia="es-MX"/>
                    </w:rPr>
                    <w:t xml:space="preserve"> para llegar 0.95% en el primer rango y en los siguientes un aumento de 0.39%</w:t>
                  </w:r>
                  <w:r w:rsidR="00B07B15" w:rsidRPr="00644501">
                    <w:rPr>
                      <w:rFonts w:ascii="Arial" w:eastAsia="Times New Roman" w:hAnsi="Arial" w:cs="Arial"/>
                      <w:color w:val="000000"/>
                      <w:sz w:val="20"/>
                      <w:szCs w:val="24"/>
                      <w:lang w:eastAsia="es-MX"/>
                    </w:rPr>
                    <w:t xml:space="preserve">, considerando la tasa base, hasta llegar a una de </w:t>
                  </w:r>
                  <w:r w:rsidR="003B3D22">
                    <w:rPr>
                      <w:rFonts w:ascii="Arial" w:eastAsia="Times New Roman" w:hAnsi="Arial" w:cs="Arial"/>
                      <w:color w:val="000000"/>
                      <w:sz w:val="20"/>
                      <w:szCs w:val="24"/>
                      <w:lang w:eastAsia="es-MX"/>
                    </w:rPr>
                    <w:t>2.51</w:t>
                  </w:r>
                  <w:r w:rsidR="00B07B15" w:rsidRPr="00644501">
                    <w:rPr>
                      <w:rFonts w:ascii="Arial" w:eastAsia="Times New Roman" w:hAnsi="Arial" w:cs="Arial"/>
                      <w:color w:val="000000"/>
                      <w:sz w:val="20"/>
                      <w:szCs w:val="24"/>
                      <w:lang w:eastAsia="es-MX"/>
                    </w:rPr>
                    <w:t>%</w:t>
                  </w:r>
                  <w:r w:rsidR="00564B3E" w:rsidRPr="00644501">
                    <w:rPr>
                      <w:rFonts w:ascii="Arial" w:eastAsia="Times New Roman" w:hAnsi="Arial" w:cs="Arial"/>
                      <w:color w:val="000000"/>
                      <w:sz w:val="20"/>
                      <w:szCs w:val="24"/>
                      <w:lang w:eastAsia="es-MX"/>
                    </w:rPr>
                    <w:t>, siendo mayor el impacto recaudatorio para el Municipio</w:t>
                  </w:r>
                </w:p>
              </w:tc>
              <w:tc>
                <w:tcPr>
                  <w:tcW w:w="970" w:type="pct"/>
                  <w:noWrap/>
                  <w:vAlign w:val="bottom"/>
                </w:tcPr>
                <w:p w:rsidR="009102BF" w:rsidRDefault="009102BF">
                  <w:pPr>
                    <w:spacing w:after="0" w:line="240" w:lineRule="auto"/>
                    <w:rPr>
                      <w:rFonts w:ascii="Arial" w:eastAsia="Times New Roman" w:hAnsi="Arial" w:cs="Arial"/>
                      <w:color w:val="000000"/>
                      <w:sz w:val="16"/>
                      <w:szCs w:val="20"/>
                      <w:lang w:eastAsia="es-MX"/>
                    </w:rPr>
                  </w:pPr>
                </w:p>
              </w:tc>
            </w:tr>
            <w:tr w:rsidR="009102BF" w:rsidTr="00644501">
              <w:trPr>
                <w:trHeight w:val="100"/>
              </w:trPr>
              <w:tc>
                <w:tcPr>
                  <w:tcW w:w="4030" w:type="pct"/>
                  <w:vAlign w:val="bottom"/>
                </w:tcPr>
                <w:p w:rsidR="009102BF" w:rsidRPr="00EA3E6C" w:rsidRDefault="009102BF">
                  <w:pPr>
                    <w:rPr>
                      <w:rFonts w:ascii="Arial" w:eastAsia="Times New Roman" w:hAnsi="Arial" w:cs="Arial"/>
                      <w:color w:val="000000"/>
                      <w:sz w:val="2"/>
                      <w:szCs w:val="4"/>
                      <w:lang w:eastAsia="es-MX"/>
                    </w:rPr>
                  </w:pPr>
                </w:p>
              </w:tc>
              <w:tc>
                <w:tcPr>
                  <w:tcW w:w="970" w:type="pct"/>
                  <w:noWrap/>
                  <w:vAlign w:val="bottom"/>
                </w:tcPr>
                <w:p w:rsidR="009102BF" w:rsidRDefault="009102BF">
                  <w:pPr>
                    <w:spacing w:after="0" w:line="240" w:lineRule="auto"/>
                    <w:jc w:val="right"/>
                    <w:rPr>
                      <w:rFonts w:ascii="Arial" w:eastAsia="Times New Roman" w:hAnsi="Arial" w:cs="Arial"/>
                      <w:color w:val="000000"/>
                      <w:sz w:val="16"/>
                      <w:szCs w:val="20"/>
                      <w:lang w:eastAsia="es-MX"/>
                    </w:rPr>
                  </w:pPr>
                </w:p>
              </w:tc>
            </w:tr>
            <w:tr w:rsidR="009102BF" w:rsidTr="00C31B79">
              <w:trPr>
                <w:trHeight w:val="300"/>
              </w:trPr>
              <w:tc>
                <w:tcPr>
                  <w:tcW w:w="4030" w:type="pct"/>
                  <w:vAlign w:val="bottom"/>
                </w:tcPr>
                <w:p w:rsidR="003B3D22" w:rsidRDefault="00644501">
                  <w:pPr>
                    <w:rPr>
                      <w:rFonts w:ascii="Arial" w:eastAsia="Times New Roman" w:hAnsi="Arial" w:cs="Arial"/>
                      <w:color w:val="000000"/>
                      <w:sz w:val="20"/>
                      <w:szCs w:val="24"/>
                      <w:lang w:eastAsia="es-MX"/>
                    </w:rPr>
                  </w:pPr>
                  <w:r w:rsidRPr="00EA3E6C">
                    <w:rPr>
                      <w:rFonts w:ascii="Arial" w:eastAsia="Times New Roman" w:hAnsi="Arial" w:cs="Arial"/>
                      <w:color w:val="000000"/>
                      <w:sz w:val="20"/>
                      <w:szCs w:val="24"/>
                      <w:lang w:eastAsia="es-MX"/>
                    </w:rPr>
                    <w:t xml:space="preserve">De acuerdo con la </w:t>
                  </w:r>
                  <w:r>
                    <w:rPr>
                      <w:rFonts w:ascii="Arial" w:eastAsia="Times New Roman" w:hAnsi="Arial" w:cs="Arial"/>
                      <w:color w:val="000000"/>
                      <w:sz w:val="20"/>
                      <w:szCs w:val="24"/>
                      <w:lang w:eastAsia="es-MX"/>
                    </w:rPr>
                    <w:t>t</w:t>
                  </w:r>
                  <w:r w:rsidRPr="00EA3E6C">
                    <w:rPr>
                      <w:rFonts w:ascii="Arial" w:eastAsia="Times New Roman" w:hAnsi="Arial" w:cs="Arial"/>
                      <w:color w:val="000000"/>
                      <w:sz w:val="20"/>
                      <w:szCs w:val="24"/>
                      <w:lang w:eastAsia="es-MX"/>
                    </w:rPr>
                    <w:t>abla</w:t>
                  </w:r>
                  <w:r>
                    <w:rPr>
                      <w:rFonts w:ascii="Arial" w:eastAsia="Times New Roman" w:hAnsi="Arial" w:cs="Arial"/>
                      <w:color w:val="000000"/>
                      <w:sz w:val="20"/>
                      <w:szCs w:val="24"/>
                      <w:lang w:eastAsia="es-MX"/>
                    </w:rPr>
                    <w:t xml:space="preserve"> que se anexa.</w:t>
                  </w:r>
                </w:p>
                <w:p w:rsidR="003B3D22" w:rsidRDefault="00F824C4">
                  <w:pPr>
                    <w:rPr>
                      <w:rFonts w:ascii="Arial" w:eastAsia="Times New Roman" w:hAnsi="Arial" w:cs="Arial"/>
                      <w:color w:val="000000"/>
                      <w:sz w:val="20"/>
                      <w:szCs w:val="24"/>
                      <w:lang w:eastAsia="es-MX"/>
                    </w:rPr>
                  </w:pPr>
                  <w:r>
                    <w:rPr>
                      <w:noProof/>
                      <w:lang w:eastAsia="es-MX"/>
                    </w:rPr>
                    <w:lastRenderedPageBreak/>
                    <w:drawing>
                      <wp:inline distT="0" distB="0" distL="0" distR="0" wp14:anchorId="1D1C90FC" wp14:editId="5B8115D8">
                        <wp:extent cx="3552798" cy="13525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6203" t="40786" r="62078" b="37744"/>
                                <a:stretch/>
                              </pic:blipFill>
                              <pic:spPr bwMode="auto">
                                <a:xfrm>
                                  <a:off x="0" y="0"/>
                                  <a:ext cx="3565210" cy="1357275"/>
                                </a:xfrm>
                                <a:prstGeom prst="rect">
                                  <a:avLst/>
                                </a:prstGeom>
                                <a:ln>
                                  <a:noFill/>
                                </a:ln>
                                <a:extLst>
                                  <a:ext uri="{53640926-AAD7-44D8-BBD7-CCE9431645EC}">
                                    <a14:shadowObscured xmlns:a14="http://schemas.microsoft.com/office/drawing/2010/main"/>
                                  </a:ext>
                                </a:extLst>
                              </pic:spPr>
                            </pic:pic>
                          </a:graphicData>
                        </a:graphic>
                      </wp:inline>
                    </w:drawing>
                  </w:r>
                </w:p>
                <w:p w:rsidR="003B3D22" w:rsidRPr="00EA3E6C" w:rsidRDefault="003B3D22">
                  <w:pPr>
                    <w:rPr>
                      <w:rFonts w:ascii="Arial" w:eastAsia="Times New Roman" w:hAnsi="Arial" w:cs="Arial"/>
                      <w:color w:val="000000"/>
                      <w:sz w:val="2"/>
                      <w:szCs w:val="4"/>
                      <w:lang w:eastAsia="es-MX"/>
                    </w:rPr>
                  </w:pPr>
                </w:p>
              </w:tc>
              <w:tc>
                <w:tcPr>
                  <w:tcW w:w="970" w:type="pct"/>
                  <w:noWrap/>
                  <w:vAlign w:val="bottom"/>
                </w:tcPr>
                <w:p w:rsidR="009102BF" w:rsidRDefault="009102BF">
                  <w:pPr>
                    <w:spacing w:after="0" w:line="240" w:lineRule="auto"/>
                    <w:jc w:val="right"/>
                    <w:rPr>
                      <w:rFonts w:ascii="Arial" w:eastAsia="Times New Roman" w:hAnsi="Arial" w:cs="Arial"/>
                      <w:color w:val="000000"/>
                      <w:sz w:val="16"/>
                      <w:szCs w:val="20"/>
                      <w:lang w:eastAsia="es-MX"/>
                    </w:rPr>
                  </w:pPr>
                </w:p>
              </w:tc>
            </w:tr>
          </w:tbl>
          <w:p w:rsidR="009102BF" w:rsidRDefault="009102BF">
            <w:pPr>
              <w:spacing w:line="240" w:lineRule="auto"/>
              <w:rPr>
                <w:rFonts w:ascii="Arial" w:hAnsi="Arial" w:cs="Arial"/>
              </w:rPr>
            </w:pP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r>
              <w:rPr>
                <w:rFonts w:ascii="Arial" w:hAnsi="Arial" w:cs="Arial"/>
              </w:rPr>
              <w:lastRenderedPageBreak/>
              <w:t>Indicar si es:</w:t>
            </w:r>
          </w:p>
          <w:p w:rsidR="009102BF" w:rsidRDefault="009102BF">
            <w:pPr>
              <w:spacing w:line="240" w:lineRule="auto"/>
              <w:rPr>
                <w:rFonts w:ascii="Arial" w:hAnsi="Arial" w:cs="Arial"/>
                <w:b/>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Pr="00007643" w:rsidRDefault="009102BF">
            <w:pPr>
              <w:spacing w:line="240" w:lineRule="auto"/>
              <w:rPr>
                <w:rFonts w:ascii="Arial" w:hAnsi="Arial" w:cs="Arial"/>
                <w:b/>
                <w:bCs/>
              </w:rPr>
            </w:pPr>
            <w:r>
              <w:rPr>
                <w:rFonts w:ascii="Arial" w:hAnsi="Arial" w:cs="Arial"/>
              </w:rPr>
              <w:t>Impuesto:</w:t>
            </w:r>
            <w:r w:rsidR="00007643">
              <w:rPr>
                <w:rFonts w:ascii="Arial" w:hAnsi="Arial" w:cs="Arial"/>
              </w:rPr>
              <w:t xml:space="preserve">   </w:t>
            </w:r>
            <w:r w:rsidR="00007643">
              <w:rPr>
                <w:rFonts w:ascii="Arial" w:hAnsi="Arial" w:cs="Arial"/>
                <w:b/>
                <w:bCs/>
              </w:rPr>
              <w:t>X</w:t>
            </w:r>
          </w:p>
          <w:p w:rsidR="00007643" w:rsidRDefault="009102BF">
            <w:pPr>
              <w:spacing w:line="240" w:lineRule="auto"/>
              <w:rPr>
                <w:rFonts w:ascii="Arial" w:hAnsi="Arial" w:cs="Arial"/>
              </w:rPr>
            </w:pPr>
            <w:r>
              <w:rPr>
                <w:rFonts w:ascii="Arial" w:hAnsi="Arial" w:cs="Arial"/>
              </w:rPr>
              <w:t xml:space="preserve">Derecho:  </w:t>
            </w:r>
          </w:p>
          <w:p w:rsidR="009102BF" w:rsidRDefault="009102BF">
            <w:pPr>
              <w:spacing w:line="240" w:lineRule="auto"/>
              <w:rPr>
                <w:rFonts w:ascii="Arial" w:hAnsi="Arial" w:cs="Arial"/>
              </w:rPr>
            </w:pPr>
            <w:r>
              <w:rPr>
                <w:rFonts w:ascii="Arial" w:hAnsi="Arial" w:cs="Arial"/>
              </w:rPr>
              <w:t>Otra:</w:t>
            </w:r>
          </w:p>
        </w:tc>
      </w:tr>
      <w:tr w:rsidR="009102BF" w:rsidTr="009102BF">
        <w:tc>
          <w:tcPr>
            <w:tcW w:w="9054" w:type="dxa"/>
            <w:gridSpan w:val="5"/>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rPr>
            </w:pPr>
            <w:r>
              <w:rPr>
                <w:rFonts w:ascii="Arial" w:hAnsi="Arial" w:cs="Arial"/>
                <w:b/>
              </w:rPr>
              <w:t>Nueva contribución propuesta:</w:t>
            </w: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r>
              <w:rPr>
                <w:rFonts w:ascii="Arial" w:hAnsi="Arial" w:cs="Arial"/>
              </w:rPr>
              <w:t>Indicar si es:</w:t>
            </w:r>
          </w:p>
          <w:p w:rsidR="009102BF" w:rsidRDefault="009102BF">
            <w:pPr>
              <w:spacing w:line="240" w:lineRule="auto"/>
              <w:rPr>
                <w:rFonts w:ascii="Arial" w:hAnsi="Arial" w:cs="Arial"/>
                <w:b/>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Pr="00007643" w:rsidRDefault="009102BF">
            <w:pPr>
              <w:spacing w:line="240" w:lineRule="auto"/>
              <w:rPr>
                <w:rFonts w:ascii="Arial" w:hAnsi="Arial" w:cs="Arial"/>
                <w:b/>
                <w:bCs/>
              </w:rPr>
            </w:pPr>
            <w:r>
              <w:rPr>
                <w:rFonts w:ascii="Arial" w:hAnsi="Arial" w:cs="Arial"/>
              </w:rPr>
              <w:t>Impuesto:</w:t>
            </w:r>
            <w:r w:rsidR="00007643">
              <w:rPr>
                <w:rFonts w:ascii="Arial" w:hAnsi="Arial" w:cs="Arial"/>
              </w:rPr>
              <w:t xml:space="preserve">      </w:t>
            </w:r>
            <w:r w:rsidR="00007643">
              <w:rPr>
                <w:rFonts w:ascii="Arial" w:hAnsi="Arial" w:cs="Arial"/>
                <w:b/>
                <w:bCs/>
              </w:rPr>
              <w:t>X</w:t>
            </w:r>
          </w:p>
          <w:p w:rsidR="009102BF" w:rsidRDefault="009102BF">
            <w:pPr>
              <w:spacing w:line="240" w:lineRule="auto"/>
              <w:rPr>
                <w:rFonts w:ascii="Arial" w:hAnsi="Arial" w:cs="Arial"/>
              </w:rPr>
            </w:pPr>
            <w:r>
              <w:rPr>
                <w:rFonts w:ascii="Arial" w:hAnsi="Arial" w:cs="Arial"/>
              </w:rPr>
              <w:t xml:space="preserve">Derecho: </w:t>
            </w:r>
          </w:p>
          <w:p w:rsidR="009102BF" w:rsidRDefault="009102BF">
            <w:pPr>
              <w:spacing w:line="240" w:lineRule="auto"/>
              <w:rPr>
                <w:rFonts w:ascii="Arial" w:hAnsi="Arial" w:cs="Arial"/>
              </w:rPr>
            </w:pPr>
            <w:r>
              <w:rPr>
                <w:rFonts w:ascii="Arial" w:hAnsi="Arial" w:cs="Arial"/>
              </w:rPr>
              <w:t>Otra:</w:t>
            </w:r>
          </w:p>
        </w:tc>
      </w:tr>
      <w:tr w:rsidR="009102BF" w:rsidTr="009102BF">
        <w:tc>
          <w:tcPr>
            <w:tcW w:w="9054" w:type="dxa"/>
            <w:gridSpan w:val="5"/>
            <w:tcBorders>
              <w:top w:val="single" w:sz="4" w:space="0" w:color="auto"/>
              <w:left w:val="single" w:sz="4" w:space="0" w:color="auto"/>
              <w:bottom w:val="single" w:sz="4" w:space="0" w:color="auto"/>
              <w:right w:val="single" w:sz="4" w:space="0" w:color="auto"/>
            </w:tcBorders>
          </w:tcPr>
          <w:p w:rsidR="009102BF" w:rsidRDefault="009102BF">
            <w:pPr>
              <w:spacing w:line="240" w:lineRule="auto"/>
              <w:jc w:val="center"/>
              <w:rPr>
                <w:rFonts w:ascii="Arial" w:hAnsi="Arial" w:cs="Arial"/>
                <w:b/>
              </w:rPr>
            </w:pPr>
          </w:p>
          <w:p w:rsidR="009102BF" w:rsidRDefault="009102BF">
            <w:pPr>
              <w:spacing w:line="240" w:lineRule="auto"/>
              <w:jc w:val="center"/>
              <w:rPr>
                <w:rFonts w:ascii="Arial" w:hAnsi="Arial" w:cs="Arial"/>
                <w:b/>
              </w:rPr>
            </w:pPr>
            <w:r>
              <w:rPr>
                <w:rFonts w:ascii="Arial" w:hAnsi="Arial" w:cs="Arial"/>
                <w:b/>
              </w:rPr>
              <w:t>Apartado para contribuciones actuales y nuevas:</w:t>
            </w: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rPr>
                <w:rFonts w:ascii="Arial" w:hAnsi="Arial" w:cs="Arial"/>
              </w:rPr>
            </w:pPr>
            <w:r>
              <w:rPr>
                <w:rFonts w:ascii="Arial" w:hAnsi="Arial" w:cs="Arial"/>
              </w:rPr>
              <w:t>Sujeto:</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EA3E6C" w:rsidP="00644501">
            <w:pPr>
              <w:spacing w:line="240" w:lineRule="auto"/>
              <w:jc w:val="both"/>
              <w:rPr>
                <w:rFonts w:ascii="Arial" w:hAnsi="Arial" w:cs="Arial"/>
              </w:rPr>
            </w:pPr>
            <w:r>
              <w:rPr>
                <w:rFonts w:ascii="Arial" w:hAnsi="Arial" w:cs="Arial"/>
              </w:rPr>
              <w:t xml:space="preserve">Toda </w:t>
            </w:r>
            <w:r w:rsidR="00007643">
              <w:rPr>
                <w:rFonts w:ascii="Arial" w:hAnsi="Arial" w:cs="Arial"/>
              </w:rPr>
              <w:t>persona que adquiere un bien inmueble</w:t>
            </w: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rPr>
                <w:rFonts w:ascii="Arial" w:hAnsi="Arial" w:cs="Arial"/>
              </w:rPr>
            </w:pPr>
            <w:r>
              <w:rPr>
                <w:rFonts w:ascii="Arial" w:hAnsi="Arial" w:cs="Arial"/>
              </w:rPr>
              <w:t>Objeto:</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564B3E">
            <w:pPr>
              <w:spacing w:line="240" w:lineRule="auto"/>
              <w:jc w:val="both"/>
            </w:pPr>
            <w:r>
              <w:t xml:space="preserve">Con fundamento en el artículo 115 fracción IV de la Constitución General de la República y 117 </w:t>
            </w:r>
            <w:proofErr w:type="gramStart"/>
            <w:r>
              <w:t>fracción</w:t>
            </w:r>
            <w:proofErr w:type="gramEnd"/>
            <w:r>
              <w:t xml:space="preserve"> VIII de la Constitución Política para el Estado de Guanajuato, </w:t>
            </w:r>
            <w:r w:rsidRPr="00564B3E">
              <w:t>se propone establecer la tabla progresiva que sustituya la tasa única señalada en el Artículo 7 de la Ley de Ingresos para el Municipio de Guanajuato, Guanajuato, 2018.</w:t>
            </w:r>
            <w:r w:rsidR="00560B42">
              <w:t xml:space="preserve"> Exponiendo los siguientes fundamentos:</w:t>
            </w:r>
          </w:p>
          <w:p w:rsidR="00560B42" w:rsidRDefault="00560B42">
            <w:pPr>
              <w:spacing w:line="240" w:lineRule="auto"/>
              <w:jc w:val="both"/>
            </w:pPr>
            <w:r>
              <w:t>El impuesto Sobre Adquisiciones de Bienes Inmuebles es por su naturaleza, importante para nuestro Municipio, pues es una fuente de ingreso constante, de carácter líquido y de disponibilidad inmediata, razón por la cual resulta una fuente de ingresos importante.</w:t>
            </w:r>
          </w:p>
          <w:p w:rsidR="00560B42" w:rsidRPr="00564B3E" w:rsidRDefault="00560B42">
            <w:pPr>
              <w:spacing w:line="240" w:lineRule="auto"/>
              <w:jc w:val="both"/>
            </w:pPr>
            <w:r>
              <w:t xml:space="preserve">Con la Tabla progresiva se pretende establecer </w:t>
            </w:r>
            <w:r w:rsidR="00656D8A">
              <w:t>el pago de impuesto más justo, al otorgar mejor proporcionalidad a la capacidad contributiva de los sujetos obligados, de tal manera que puedan contribuir en mayor proporción quienes realicen adquisiciones de inmuebles con valores de operación elevadas o superiores respecto a aquellos que se ubican en los rangos que le anteceden sucesivamente.</w:t>
            </w:r>
          </w:p>
          <w:p w:rsidR="00656D8A" w:rsidRDefault="00656D8A" w:rsidP="00656D8A">
            <w:pPr>
              <w:jc w:val="both"/>
            </w:pPr>
            <w:r>
              <w:t xml:space="preserve">De hecho, esa progresividad ya se aplica con este tipo de contribuyentes, pero en el ámbito federal, al momento de </w:t>
            </w:r>
            <w:r>
              <w:lastRenderedPageBreak/>
              <w:t xml:space="preserve">liquidar el Impuesto Sobre la Renta por Enajenación o Adquisiciones de Inmuebles, según corresponda. Es el Fisco Federal el que se ve beneficiado directamente con las operaciones de mayor cuanta, al aplicarles una tabla progresiva que va del 6.5% al 30% sobre la ganancia neta de la operación. No obstante las cargas administrativas del servicio tributario las asume en un 70% el municipio, pues ni Federal ni la Entidad Federativa, procesan los trámites que implica una operación de esa naturaleza. Es el catastro y la dirección de impuesto inmobiliario del municipio, quienes asumen toda la carga económica, jurídica y fiscal de esta clase de operaciones, incluso en algunos casos, aunque parezca absurdo, la propia liquidación de los impuestos federales y estatales. </w:t>
            </w:r>
          </w:p>
          <w:p w:rsidR="009102BF" w:rsidRDefault="00656D8A" w:rsidP="00F824C4">
            <w:pPr>
              <w:jc w:val="both"/>
              <w:rPr>
                <w:rFonts w:ascii="Arial" w:hAnsi="Arial" w:cs="Arial"/>
              </w:rPr>
            </w:pPr>
            <w:r>
              <w:t>Por otra parte, es de destacarse que el impuesto sobre adquisiciones de bienes inmuebles municipal, es deducibles para los efectos del cálculo de la ganancia neta, tanto del impuesto correspondiente como del impuesto cedular estatal. De ese modo, un eventual incremento progresivo del tributo municipal, se restaría de las cargas federales y estatales, es decir, que la distribución de la carga disiparía cualquier impacto en el contribuyente, pues solo cambiario de manos el efecto impositivo, pues al tratarse de la misma fuente, sujetos y objeto, el efecto final sería prácticamente nulo.</w:t>
            </w: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rPr>
                <w:rFonts w:ascii="Arial" w:hAnsi="Arial" w:cs="Arial"/>
              </w:rPr>
            </w:pPr>
            <w:r>
              <w:rPr>
                <w:rFonts w:ascii="Arial" w:hAnsi="Arial" w:cs="Arial"/>
              </w:rPr>
              <w:lastRenderedPageBreak/>
              <w:t>Base:</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007643" w:rsidP="00F824C4">
            <w:pPr>
              <w:spacing w:line="240" w:lineRule="auto"/>
              <w:rPr>
                <w:rFonts w:ascii="Arial" w:hAnsi="Arial" w:cs="Arial"/>
              </w:rPr>
            </w:pPr>
            <w:r>
              <w:rPr>
                <w:rFonts w:ascii="Arial" w:hAnsi="Arial" w:cs="Arial"/>
              </w:rPr>
              <w:t>Impuesto único, generado por la traslación de dominio.</w:t>
            </w:r>
          </w:p>
        </w:tc>
      </w:tr>
      <w:tr w:rsidR="009102BF" w:rsidTr="00007643">
        <w:trPr>
          <w:trHeight w:val="610"/>
        </w:trPr>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rPr>
                <w:rFonts w:ascii="Arial" w:hAnsi="Arial" w:cs="Arial"/>
              </w:rPr>
            </w:pPr>
            <w:r>
              <w:rPr>
                <w:rFonts w:ascii="Arial" w:hAnsi="Arial" w:cs="Arial"/>
              </w:rPr>
              <w:t>Tasa o tarifa:</w:t>
            </w:r>
          </w:p>
        </w:tc>
        <w:tc>
          <w:tcPr>
            <w:tcW w:w="6111" w:type="dxa"/>
            <w:gridSpan w:val="4"/>
            <w:tcBorders>
              <w:top w:val="single" w:sz="4" w:space="0" w:color="auto"/>
              <w:left w:val="single" w:sz="4" w:space="0" w:color="auto"/>
              <w:bottom w:val="single" w:sz="4" w:space="0" w:color="auto"/>
              <w:right w:val="single" w:sz="4" w:space="0" w:color="auto"/>
            </w:tcBorders>
            <w:hideMark/>
          </w:tcPr>
          <w:tbl>
            <w:tblPr>
              <w:tblW w:w="5000" w:type="pct"/>
              <w:tblCellMar>
                <w:left w:w="70" w:type="dxa"/>
                <w:right w:w="70" w:type="dxa"/>
              </w:tblCellMar>
              <w:tblLook w:val="04A0" w:firstRow="1" w:lastRow="0" w:firstColumn="1" w:lastColumn="0" w:noHBand="0" w:noVBand="1"/>
            </w:tblPr>
            <w:tblGrid>
              <w:gridCol w:w="5560"/>
              <w:gridCol w:w="146"/>
            </w:tblGrid>
            <w:tr w:rsidR="009102BF" w:rsidTr="00644501">
              <w:trPr>
                <w:trHeight w:val="559"/>
              </w:trPr>
              <w:tc>
                <w:tcPr>
                  <w:tcW w:w="4030" w:type="pct"/>
                  <w:vAlign w:val="bottom"/>
                </w:tcPr>
                <w:p w:rsidR="009102BF" w:rsidRDefault="00007643" w:rsidP="003B3D22">
                  <w:pPr>
                    <w:tabs>
                      <w:tab w:val="left" w:pos="1578"/>
                    </w:tabs>
                    <w:spacing w:line="360" w:lineRule="auto"/>
                    <w:jc w:val="both"/>
                    <w:rPr>
                      <w:rFonts w:ascii="Arial" w:eastAsia="Times New Roman" w:hAnsi="Arial" w:cs="Arial"/>
                      <w:sz w:val="20"/>
                      <w:szCs w:val="20"/>
                      <w:lang w:eastAsia="es-MX"/>
                    </w:rPr>
                  </w:pPr>
                  <w:r>
                    <w:rPr>
                      <w:rFonts w:ascii="Arial" w:eastAsia="Times New Roman" w:hAnsi="Arial" w:cs="Arial"/>
                      <w:sz w:val="20"/>
                      <w:szCs w:val="20"/>
                      <w:lang w:eastAsia="es-MX"/>
                    </w:rPr>
                    <w:t xml:space="preserve">impuesto sobre adquisición de bienes inmuebles se causará y liquidará </w:t>
                  </w:r>
                  <w:r w:rsidR="003B3D22">
                    <w:rPr>
                      <w:rFonts w:ascii="Arial" w:eastAsia="Times New Roman" w:hAnsi="Arial" w:cs="Arial"/>
                      <w:sz w:val="20"/>
                      <w:szCs w:val="20"/>
                      <w:lang w:eastAsia="es-MX"/>
                    </w:rPr>
                    <w:t>de acuerdo a la nueva tabla progresiva</w:t>
                  </w:r>
                </w:p>
                <w:p w:rsidR="00F824C4" w:rsidRPr="00007643" w:rsidRDefault="00F824C4" w:rsidP="003B3D22">
                  <w:pPr>
                    <w:tabs>
                      <w:tab w:val="left" w:pos="1578"/>
                    </w:tabs>
                    <w:spacing w:line="360" w:lineRule="auto"/>
                    <w:jc w:val="both"/>
                    <w:rPr>
                      <w:rFonts w:ascii="Arial" w:eastAsia="Times New Roman" w:hAnsi="Arial" w:cs="Arial"/>
                      <w:sz w:val="20"/>
                      <w:szCs w:val="20"/>
                      <w:lang w:eastAsia="es-MX"/>
                    </w:rPr>
                  </w:pPr>
                  <w:r>
                    <w:rPr>
                      <w:noProof/>
                      <w:lang w:eastAsia="es-MX"/>
                    </w:rPr>
                    <w:drawing>
                      <wp:inline distT="0" distB="0" distL="0" distR="0" wp14:anchorId="4C75B58D" wp14:editId="5AC2BD08">
                        <wp:extent cx="3552825" cy="14954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BEBA8EAE-BF5A-486C-A8C5-ECC9F3942E4B}">
                                      <a14:imgProps xmlns:a14="http://schemas.microsoft.com/office/drawing/2010/main">
                                        <a14:imgLayer r:embed="rId13">
                                          <a14:imgEffect>
                                            <a14:sharpenSoften amount="50000"/>
                                          </a14:imgEffect>
                                        </a14:imgLayer>
                                      </a14:imgProps>
                                    </a:ext>
                                  </a:extLst>
                                </a:blip>
                                <a:srcRect l="6203" t="40786" r="62078" b="37744"/>
                                <a:stretch/>
                              </pic:blipFill>
                              <pic:spPr bwMode="auto">
                                <a:xfrm>
                                  <a:off x="0" y="0"/>
                                  <a:ext cx="3565236" cy="1500649"/>
                                </a:xfrm>
                                <a:prstGeom prst="rect">
                                  <a:avLst/>
                                </a:prstGeom>
                                <a:ln>
                                  <a:noFill/>
                                </a:ln>
                                <a:extLst>
                                  <a:ext uri="{53640926-AAD7-44D8-BBD7-CCE9431645EC}">
                                    <a14:shadowObscured xmlns:a14="http://schemas.microsoft.com/office/drawing/2010/main"/>
                                  </a:ext>
                                </a:extLst>
                              </pic:spPr>
                            </pic:pic>
                          </a:graphicData>
                        </a:graphic>
                      </wp:inline>
                    </w:drawing>
                  </w:r>
                </w:p>
              </w:tc>
              <w:tc>
                <w:tcPr>
                  <w:tcW w:w="970" w:type="pct"/>
                  <w:noWrap/>
                  <w:vAlign w:val="bottom"/>
                </w:tcPr>
                <w:p w:rsidR="009102BF" w:rsidRDefault="009102BF">
                  <w:pPr>
                    <w:spacing w:after="0" w:line="240" w:lineRule="auto"/>
                    <w:rPr>
                      <w:rFonts w:ascii="Arial" w:eastAsia="Times New Roman" w:hAnsi="Arial" w:cs="Arial"/>
                      <w:color w:val="000000"/>
                      <w:sz w:val="16"/>
                      <w:szCs w:val="20"/>
                      <w:lang w:eastAsia="es-MX"/>
                    </w:rPr>
                  </w:pPr>
                </w:p>
              </w:tc>
            </w:tr>
            <w:tr w:rsidR="009102BF" w:rsidTr="00007643">
              <w:trPr>
                <w:trHeight w:val="258"/>
              </w:trPr>
              <w:tc>
                <w:tcPr>
                  <w:tcW w:w="4030" w:type="pct"/>
                  <w:vAlign w:val="bottom"/>
                </w:tcPr>
                <w:p w:rsidR="009102BF" w:rsidRPr="00644501" w:rsidRDefault="009102BF">
                  <w:pPr>
                    <w:rPr>
                      <w:rFonts w:ascii="Arial" w:eastAsia="Times New Roman" w:hAnsi="Arial" w:cs="Arial"/>
                      <w:color w:val="000000"/>
                      <w:sz w:val="2"/>
                      <w:szCs w:val="2"/>
                      <w:lang w:eastAsia="es-MX"/>
                    </w:rPr>
                  </w:pPr>
                </w:p>
              </w:tc>
              <w:tc>
                <w:tcPr>
                  <w:tcW w:w="970" w:type="pct"/>
                  <w:noWrap/>
                  <w:vAlign w:val="bottom"/>
                </w:tcPr>
                <w:p w:rsidR="009102BF" w:rsidRDefault="009102BF">
                  <w:pPr>
                    <w:spacing w:after="0" w:line="240" w:lineRule="auto"/>
                    <w:jc w:val="right"/>
                    <w:rPr>
                      <w:rFonts w:ascii="Arial" w:eastAsia="Times New Roman" w:hAnsi="Arial" w:cs="Arial"/>
                      <w:color w:val="000000"/>
                      <w:sz w:val="16"/>
                      <w:szCs w:val="20"/>
                      <w:lang w:eastAsia="es-MX"/>
                    </w:rPr>
                  </w:pPr>
                </w:p>
              </w:tc>
            </w:tr>
            <w:tr w:rsidR="009102BF" w:rsidTr="00007643">
              <w:trPr>
                <w:trHeight w:val="300"/>
              </w:trPr>
              <w:tc>
                <w:tcPr>
                  <w:tcW w:w="4030" w:type="pct"/>
                  <w:vAlign w:val="bottom"/>
                </w:tcPr>
                <w:p w:rsidR="009102BF" w:rsidRPr="00644501" w:rsidRDefault="009102BF">
                  <w:pPr>
                    <w:rPr>
                      <w:rFonts w:ascii="Arial" w:eastAsia="Times New Roman" w:hAnsi="Arial" w:cs="Arial"/>
                      <w:color w:val="000000"/>
                      <w:sz w:val="2"/>
                      <w:szCs w:val="2"/>
                      <w:lang w:eastAsia="es-MX"/>
                    </w:rPr>
                  </w:pPr>
                </w:p>
              </w:tc>
              <w:tc>
                <w:tcPr>
                  <w:tcW w:w="970" w:type="pct"/>
                  <w:noWrap/>
                  <w:vAlign w:val="bottom"/>
                </w:tcPr>
                <w:p w:rsidR="009102BF" w:rsidRDefault="009102BF">
                  <w:pPr>
                    <w:spacing w:after="0" w:line="240" w:lineRule="auto"/>
                    <w:jc w:val="right"/>
                    <w:rPr>
                      <w:rFonts w:ascii="Arial" w:eastAsia="Times New Roman" w:hAnsi="Arial" w:cs="Arial"/>
                      <w:color w:val="000000"/>
                      <w:sz w:val="16"/>
                      <w:szCs w:val="20"/>
                      <w:lang w:eastAsia="es-MX"/>
                    </w:rPr>
                  </w:pPr>
                </w:p>
              </w:tc>
            </w:tr>
          </w:tbl>
          <w:p w:rsidR="009102BF" w:rsidRDefault="009102BF">
            <w:pPr>
              <w:spacing w:line="240" w:lineRule="auto"/>
              <w:rPr>
                <w:rFonts w:ascii="Arial" w:hAnsi="Arial" w:cs="Arial"/>
              </w:rPr>
            </w:pP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rPr>
            </w:pPr>
            <w:r>
              <w:rPr>
                <w:rFonts w:ascii="Arial" w:hAnsi="Arial" w:cs="Arial"/>
              </w:rPr>
              <w:lastRenderedPageBreak/>
              <w:t>Tipo de estudio para medir el</w:t>
            </w:r>
          </w:p>
          <w:p w:rsidR="009102BF" w:rsidRDefault="009102BF">
            <w:pPr>
              <w:spacing w:line="240" w:lineRule="auto"/>
              <w:jc w:val="center"/>
              <w:rPr>
                <w:rFonts w:ascii="Arial" w:hAnsi="Arial" w:cs="Arial"/>
              </w:rPr>
            </w:pPr>
            <w:r>
              <w:rPr>
                <w:rFonts w:ascii="Arial" w:hAnsi="Arial" w:cs="Arial"/>
              </w:rPr>
              <w:t>Impacto recaudatorio esperado:</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007643">
            <w:pPr>
              <w:spacing w:line="240" w:lineRule="auto"/>
              <w:jc w:val="both"/>
              <w:rPr>
                <w:rFonts w:ascii="Arial" w:hAnsi="Arial" w:cs="Arial"/>
              </w:rPr>
            </w:pPr>
            <w:r>
              <w:rPr>
                <w:rFonts w:ascii="Arial" w:hAnsi="Arial" w:cs="Arial"/>
              </w:rPr>
              <w:t>Tabla estadística de los impuestos generados en las últimas 1</w:t>
            </w:r>
            <w:r w:rsidR="00644501">
              <w:rPr>
                <w:rFonts w:ascii="Arial" w:hAnsi="Arial" w:cs="Arial"/>
              </w:rPr>
              <w:t>103</w:t>
            </w:r>
            <w:r>
              <w:rPr>
                <w:rFonts w:ascii="Arial" w:hAnsi="Arial" w:cs="Arial"/>
              </w:rPr>
              <w:t xml:space="preserve"> traslaciones de dominio registradas en el municipio  </w:t>
            </w:r>
          </w:p>
          <w:p w:rsidR="009102BF" w:rsidRDefault="009102BF">
            <w:pPr>
              <w:spacing w:line="240" w:lineRule="auto"/>
              <w:rPr>
                <w:rFonts w:ascii="Arial" w:hAnsi="Arial" w:cs="Arial"/>
              </w:rPr>
            </w:pPr>
          </w:p>
        </w:tc>
      </w:tr>
      <w:tr w:rsidR="009102BF" w:rsidTr="009102BF">
        <w:tc>
          <w:tcPr>
            <w:tcW w:w="9054" w:type="dxa"/>
            <w:gridSpan w:val="5"/>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b/>
              </w:rPr>
            </w:pPr>
            <w:r>
              <w:rPr>
                <w:rFonts w:ascii="Arial" w:hAnsi="Arial" w:cs="Arial"/>
                <w:b/>
              </w:rPr>
              <w:t>Elementos y alcances de la contribución:</w:t>
            </w: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rPr>
            </w:pPr>
            <w:r>
              <w:rPr>
                <w:rFonts w:ascii="Arial" w:hAnsi="Arial" w:cs="Arial"/>
              </w:rPr>
              <w:t>Descripción de la proporcionalidad en relación a la capacidad contributiva del contribuyente:</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007643">
            <w:pPr>
              <w:spacing w:line="240" w:lineRule="auto"/>
              <w:jc w:val="both"/>
              <w:rPr>
                <w:rFonts w:ascii="Arial" w:hAnsi="Arial" w:cs="Arial"/>
              </w:rPr>
            </w:pPr>
            <w:r>
              <w:rPr>
                <w:rFonts w:ascii="Arial" w:hAnsi="Arial" w:cs="Arial"/>
              </w:rPr>
              <w:t xml:space="preserve">La tabla progresiva, según rangos de valor y variación de porcentaje </w:t>
            </w:r>
            <w:r w:rsidR="009102BF">
              <w:rPr>
                <w:rFonts w:ascii="Arial" w:hAnsi="Arial" w:cs="Arial"/>
              </w:rPr>
              <w:t xml:space="preserve">propuesto, no representa un impacto al </w:t>
            </w:r>
            <w:r>
              <w:rPr>
                <w:rFonts w:ascii="Arial" w:hAnsi="Arial" w:cs="Arial"/>
              </w:rPr>
              <w:t>contribuyente que adquiere un inmueble</w:t>
            </w:r>
            <w:r w:rsidR="009102BF">
              <w:rPr>
                <w:rFonts w:ascii="Arial" w:hAnsi="Arial" w:cs="Arial"/>
              </w:rPr>
              <w:t xml:space="preserve">, toda vez que </w:t>
            </w:r>
            <w:r>
              <w:rPr>
                <w:rFonts w:ascii="Arial" w:hAnsi="Arial" w:cs="Arial"/>
              </w:rPr>
              <w:t>aplicando una cuota fija de subsidio</w:t>
            </w:r>
            <w:r w:rsidR="005A2A6E">
              <w:rPr>
                <w:rFonts w:ascii="Arial" w:hAnsi="Arial" w:cs="Arial"/>
              </w:rPr>
              <w:t>, mantiene la proporcionalidad y racionalidad en el pago del impuesto generado</w:t>
            </w:r>
            <w:r w:rsidR="00656D8A">
              <w:rPr>
                <w:rFonts w:ascii="Arial" w:hAnsi="Arial" w:cs="Arial"/>
              </w:rPr>
              <w:t>.</w:t>
            </w:r>
          </w:p>
          <w:p w:rsidR="00656D8A" w:rsidRPr="00656D8A" w:rsidRDefault="00656D8A" w:rsidP="00656D8A">
            <w:pPr>
              <w:spacing w:line="240" w:lineRule="auto"/>
              <w:jc w:val="both"/>
              <w:rPr>
                <w:rFonts w:ascii="Arial" w:hAnsi="Arial" w:cs="Arial"/>
              </w:rPr>
            </w:pPr>
            <w:r w:rsidRPr="00656D8A">
              <w:rPr>
                <w:rFonts w:ascii="Arial" w:hAnsi="Arial" w:cs="Arial"/>
              </w:rPr>
              <w:t>Los montos señalados en la propuesta de la tabla progresiva en materia de impuesto sobre adquisición de bienes inmuebles se hizo tomando como referencia lo señalado en el artículo 462 del Código Territorial para los Municipios del Estado Guanajuato que a la letra señala:</w:t>
            </w:r>
          </w:p>
          <w:p w:rsidR="009102BF" w:rsidRDefault="00656D8A" w:rsidP="00656D8A">
            <w:pPr>
              <w:spacing w:line="240" w:lineRule="auto"/>
              <w:jc w:val="both"/>
              <w:rPr>
                <w:rFonts w:ascii="Arial" w:hAnsi="Arial" w:cs="Arial"/>
              </w:rPr>
            </w:pPr>
            <w:r w:rsidRPr="00656D8A">
              <w:rPr>
                <w:rFonts w:ascii="Arial" w:hAnsi="Arial" w:cs="Arial"/>
              </w:rPr>
              <w:t>“Para los efectos de este Título, se entiende por vivienda de interés social, aquella que sea adquirida o susceptible de ser adquirida por trabajadores de bajo ingreso sujetos a subsidio federal, estatal o municipal para adquisición de vivienda; en caso de no existir un programa de subsidios, se considera aquella cuyo monto al término de su edificación, no exceda del valor que resulte de multiplicar por veinticinco la Unidad de Medida y Actualización diaria, elevada esta cantidad al año.”</w:t>
            </w:r>
          </w:p>
          <w:p w:rsidR="00656D8A" w:rsidRDefault="00656D8A" w:rsidP="00656D8A">
            <w:pPr>
              <w:spacing w:line="240" w:lineRule="auto"/>
              <w:jc w:val="both"/>
              <w:rPr>
                <w:rFonts w:ascii="Arial" w:hAnsi="Arial" w:cs="Arial"/>
              </w:rPr>
            </w:pP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jc w:val="center"/>
              <w:rPr>
                <w:rFonts w:ascii="Arial" w:hAnsi="Arial" w:cs="Arial"/>
              </w:rPr>
            </w:pPr>
            <w:r>
              <w:rPr>
                <w:rFonts w:ascii="Arial" w:hAnsi="Arial" w:cs="Arial"/>
              </w:rPr>
              <w:t>Descripción de la equidad en el cobro:</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9102BF">
            <w:pPr>
              <w:spacing w:line="240" w:lineRule="auto"/>
              <w:jc w:val="both"/>
              <w:rPr>
                <w:rFonts w:ascii="Arial" w:hAnsi="Arial" w:cs="Arial"/>
              </w:rPr>
            </w:pPr>
            <w:r>
              <w:rPr>
                <w:rFonts w:ascii="Arial" w:hAnsi="Arial" w:cs="Arial"/>
              </w:rPr>
              <w:t>La base de cobro, se</w:t>
            </w:r>
            <w:r w:rsidR="00EA3E6C">
              <w:rPr>
                <w:rFonts w:ascii="Arial" w:hAnsi="Arial" w:cs="Arial"/>
              </w:rPr>
              <w:t>gmenta la tarifa, en función de</w:t>
            </w:r>
            <w:r>
              <w:rPr>
                <w:rFonts w:ascii="Arial" w:hAnsi="Arial" w:cs="Arial"/>
              </w:rPr>
              <w:t xml:space="preserve">l </w:t>
            </w:r>
            <w:r w:rsidR="00EA3E6C">
              <w:rPr>
                <w:rFonts w:ascii="Arial" w:hAnsi="Arial" w:cs="Arial"/>
              </w:rPr>
              <w:t>monto</w:t>
            </w:r>
            <w:r>
              <w:rPr>
                <w:rFonts w:ascii="Arial" w:hAnsi="Arial" w:cs="Arial"/>
              </w:rPr>
              <w:t xml:space="preserve"> del </w:t>
            </w:r>
            <w:r w:rsidR="005A2A6E">
              <w:rPr>
                <w:rFonts w:ascii="Arial" w:hAnsi="Arial" w:cs="Arial"/>
              </w:rPr>
              <w:t>rango de la base gravable</w:t>
            </w:r>
            <w:r>
              <w:rPr>
                <w:rFonts w:ascii="Arial" w:hAnsi="Arial" w:cs="Arial"/>
              </w:rPr>
              <w:t xml:space="preserve"> y en proporción al </w:t>
            </w:r>
            <w:r w:rsidR="005A2A6E">
              <w:rPr>
                <w:rFonts w:ascii="Arial" w:hAnsi="Arial" w:cs="Arial"/>
              </w:rPr>
              <w:t>rango creciente de la misma</w:t>
            </w:r>
            <w:r>
              <w:rPr>
                <w:rFonts w:ascii="Arial" w:hAnsi="Arial" w:cs="Arial"/>
              </w:rPr>
              <w:t xml:space="preserve">. </w:t>
            </w:r>
          </w:p>
          <w:p w:rsidR="009102BF" w:rsidRDefault="00F950E6" w:rsidP="00F950E6">
            <w:pPr>
              <w:spacing w:line="240" w:lineRule="auto"/>
              <w:jc w:val="both"/>
              <w:rPr>
                <w:rFonts w:ascii="Arial" w:hAnsi="Arial" w:cs="Arial"/>
              </w:rPr>
            </w:pPr>
            <w:r>
              <w:rPr>
                <w:rFonts w:ascii="Arial" w:hAnsi="Arial" w:cs="Arial"/>
              </w:rPr>
              <w:t>En este contexto, no existirá violación a los principios equidad y proporcionalidad, en relación a que el salto de rango conduciría a determinar una cuota fija diversa, habiendo una tasa para el excedente del límite inferior que operaría sobre la diferencia existente entre este límite y el importe de la operación a considerar.</w:t>
            </w:r>
          </w:p>
        </w:tc>
      </w:tr>
      <w:tr w:rsidR="009102BF" w:rsidTr="00F950E6">
        <w:trPr>
          <w:trHeight w:val="755"/>
        </w:trPr>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r>
              <w:rPr>
                <w:rFonts w:ascii="Arial" w:hAnsi="Arial" w:cs="Arial"/>
              </w:rPr>
              <w:t>Impacto social:</w:t>
            </w:r>
          </w:p>
          <w:p w:rsidR="009102BF" w:rsidRDefault="009102BF">
            <w:pPr>
              <w:spacing w:line="240" w:lineRule="auto"/>
              <w:rPr>
                <w:rFonts w:ascii="Arial" w:hAnsi="Arial" w:cs="Arial"/>
              </w:rPr>
            </w:pPr>
          </w:p>
          <w:p w:rsidR="009102BF" w:rsidRDefault="009102BF">
            <w:pPr>
              <w:spacing w:line="240" w:lineRule="auto"/>
              <w:rPr>
                <w:rFonts w:ascii="Arial" w:hAnsi="Arial" w:cs="Arial"/>
              </w:rPr>
            </w:pPr>
          </w:p>
          <w:p w:rsidR="009102BF" w:rsidRDefault="009102BF">
            <w:pPr>
              <w:spacing w:line="240" w:lineRule="auto"/>
              <w:rPr>
                <w:rFonts w:ascii="Arial" w:hAnsi="Arial" w:cs="Arial"/>
              </w:rPr>
            </w:pPr>
          </w:p>
          <w:p w:rsidR="00F824C4" w:rsidRDefault="00F824C4">
            <w:pPr>
              <w:spacing w:line="240" w:lineRule="auto"/>
              <w:rPr>
                <w:rFonts w:ascii="Arial" w:hAnsi="Arial" w:cs="Arial"/>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EA3E6C" w:rsidP="005A2A6E">
            <w:pPr>
              <w:spacing w:line="240" w:lineRule="auto"/>
              <w:rPr>
                <w:rFonts w:ascii="Arial" w:hAnsi="Arial" w:cs="Arial"/>
              </w:rPr>
            </w:pPr>
            <w:r>
              <w:rPr>
                <w:rFonts w:ascii="Arial" w:hAnsi="Arial" w:cs="Arial"/>
              </w:rPr>
              <w:t xml:space="preserve">Evitar </w:t>
            </w:r>
            <w:r w:rsidR="005A2A6E">
              <w:rPr>
                <w:rFonts w:ascii="Arial" w:hAnsi="Arial" w:cs="Arial"/>
              </w:rPr>
              <w:t>aumentos generales de los montos que generan los impuestos y que a la vez incentive la generación del traslado de dominio</w:t>
            </w:r>
          </w:p>
        </w:tc>
      </w:tr>
      <w:tr w:rsidR="009102BF" w:rsidTr="009102BF">
        <w:tc>
          <w:tcPr>
            <w:tcW w:w="2943" w:type="dxa"/>
            <w:tcBorders>
              <w:top w:val="single" w:sz="4" w:space="0" w:color="auto"/>
              <w:left w:val="single" w:sz="4" w:space="0" w:color="auto"/>
              <w:bottom w:val="single" w:sz="4" w:space="0" w:color="auto"/>
              <w:right w:val="single" w:sz="4" w:space="0" w:color="auto"/>
            </w:tcBorders>
            <w:hideMark/>
          </w:tcPr>
          <w:p w:rsidR="009102BF" w:rsidRDefault="009102BF">
            <w:pPr>
              <w:spacing w:line="240" w:lineRule="auto"/>
              <w:rPr>
                <w:rFonts w:ascii="Arial" w:hAnsi="Arial" w:cs="Arial"/>
              </w:rPr>
            </w:pPr>
            <w:r>
              <w:rPr>
                <w:rFonts w:ascii="Arial" w:hAnsi="Arial" w:cs="Arial"/>
              </w:rPr>
              <w:lastRenderedPageBreak/>
              <w:t>Estrategia en la gestión recaudatoria:</w:t>
            </w:r>
          </w:p>
        </w:tc>
        <w:tc>
          <w:tcPr>
            <w:tcW w:w="6111" w:type="dxa"/>
            <w:gridSpan w:val="4"/>
            <w:tcBorders>
              <w:top w:val="single" w:sz="4" w:space="0" w:color="auto"/>
              <w:left w:val="single" w:sz="4" w:space="0" w:color="auto"/>
              <w:bottom w:val="single" w:sz="4" w:space="0" w:color="auto"/>
              <w:right w:val="single" w:sz="4" w:space="0" w:color="auto"/>
            </w:tcBorders>
            <w:hideMark/>
          </w:tcPr>
          <w:p w:rsidR="009102BF" w:rsidRDefault="005A2A6E" w:rsidP="0095630F">
            <w:pPr>
              <w:spacing w:line="240" w:lineRule="auto"/>
              <w:rPr>
                <w:rFonts w:ascii="Arial" w:hAnsi="Arial" w:cs="Arial"/>
              </w:rPr>
            </w:pPr>
            <w:r>
              <w:rPr>
                <w:rFonts w:ascii="Arial" w:hAnsi="Arial" w:cs="Arial"/>
              </w:rPr>
              <w:t xml:space="preserve">Se establecerá al momento de que se registre la </w:t>
            </w:r>
            <w:r w:rsidR="0095630F">
              <w:rPr>
                <w:rFonts w:ascii="Arial" w:hAnsi="Arial" w:cs="Arial"/>
              </w:rPr>
              <w:t>traslación de dominio</w:t>
            </w:r>
            <w:r>
              <w:rPr>
                <w:rFonts w:ascii="Arial" w:hAnsi="Arial" w:cs="Arial"/>
              </w:rPr>
              <w:t xml:space="preserve"> en la  Dirección de Catastro e Impuesto Predial.</w:t>
            </w: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jc w:val="center"/>
              <w:rPr>
                <w:rFonts w:ascii="Arial" w:hAnsi="Arial" w:cs="Arial"/>
              </w:rPr>
            </w:pPr>
            <w:r>
              <w:rPr>
                <w:rFonts w:ascii="Arial" w:hAnsi="Arial" w:cs="Arial"/>
              </w:rPr>
              <w:t>Administración de la contribución:</w:t>
            </w:r>
          </w:p>
          <w:p w:rsidR="009102BF" w:rsidRDefault="009102BF">
            <w:pPr>
              <w:spacing w:line="240" w:lineRule="auto"/>
              <w:rPr>
                <w:rFonts w:ascii="Arial" w:hAnsi="Arial" w:cs="Arial"/>
              </w:rPr>
            </w:pP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9102BF" w:rsidP="00F824C4">
            <w:pPr>
              <w:spacing w:line="240" w:lineRule="auto"/>
              <w:jc w:val="both"/>
              <w:rPr>
                <w:rFonts w:ascii="Arial" w:hAnsi="Arial" w:cs="Arial"/>
              </w:rPr>
            </w:pPr>
            <w:r>
              <w:rPr>
                <w:rFonts w:ascii="Arial" w:hAnsi="Arial" w:cs="Arial"/>
              </w:rPr>
              <w:t xml:space="preserve">La recaudación forma parte del gasto corriente con que cuenta el municipio para la prestación de los servicios públicos a su cargo. </w:t>
            </w:r>
          </w:p>
        </w:tc>
      </w:tr>
      <w:tr w:rsidR="009102BF" w:rsidTr="009102BF">
        <w:tc>
          <w:tcPr>
            <w:tcW w:w="2943" w:type="dxa"/>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rPr>
            </w:pPr>
            <w:r>
              <w:rPr>
                <w:rFonts w:ascii="Arial" w:hAnsi="Arial" w:cs="Arial"/>
              </w:rPr>
              <w:t>Argumentación:</w:t>
            </w:r>
          </w:p>
          <w:p w:rsidR="009102BF" w:rsidRDefault="009102BF">
            <w:pPr>
              <w:spacing w:line="240" w:lineRule="auto"/>
              <w:rPr>
                <w:rFonts w:ascii="Arial" w:hAnsi="Arial" w:cs="Arial"/>
              </w:rPr>
            </w:pPr>
          </w:p>
          <w:p w:rsidR="009102BF" w:rsidRDefault="009102BF">
            <w:pPr>
              <w:spacing w:line="240" w:lineRule="auto"/>
              <w:rPr>
                <w:rFonts w:ascii="Arial" w:hAnsi="Arial" w:cs="Arial"/>
              </w:rPr>
            </w:pPr>
          </w:p>
          <w:p w:rsidR="009102BF" w:rsidRDefault="009102BF">
            <w:pPr>
              <w:spacing w:line="240" w:lineRule="auto"/>
              <w:jc w:val="both"/>
              <w:rPr>
                <w:rFonts w:ascii="Arial" w:hAnsi="Arial" w:cs="Arial"/>
              </w:rPr>
            </w:pPr>
            <w:r>
              <w:rPr>
                <w:rFonts w:ascii="Arial" w:hAnsi="Arial" w:cs="Arial"/>
              </w:rPr>
              <w:t>*Explicación pormenorizada del porque los estudios realizados demuestran la intención de la iniciativa, y como es que estos se encuentran apegados al marco jurídico.</w:t>
            </w:r>
          </w:p>
        </w:tc>
        <w:tc>
          <w:tcPr>
            <w:tcW w:w="6111" w:type="dxa"/>
            <w:gridSpan w:val="4"/>
            <w:tcBorders>
              <w:top w:val="single" w:sz="4" w:space="0" w:color="auto"/>
              <w:left w:val="single" w:sz="4" w:space="0" w:color="auto"/>
              <w:bottom w:val="single" w:sz="4" w:space="0" w:color="auto"/>
              <w:right w:val="single" w:sz="4" w:space="0" w:color="auto"/>
            </w:tcBorders>
          </w:tcPr>
          <w:p w:rsidR="009102BF" w:rsidRDefault="009102BF">
            <w:pPr>
              <w:spacing w:line="240" w:lineRule="auto"/>
              <w:rPr>
                <w:rFonts w:ascii="Arial" w:hAnsi="Arial" w:cs="Arial"/>
                <w:b/>
              </w:rPr>
            </w:pPr>
            <w:r>
              <w:rPr>
                <w:rFonts w:ascii="Arial" w:hAnsi="Arial" w:cs="Arial"/>
                <w:b/>
              </w:rPr>
              <w:t>Antecedentes:</w:t>
            </w:r>
          </w:p>
          <w:p w:rsidR="009102BF" w:rsidRDefault="009102BF">
            <w:pPr>
              <w:spacing w:line="240" w:lineRule="auto"/>
              <w:rPr>
                <w:rFonts w:ascii="Arial" w:hAnsi="Arial" w:cs="Arial"/>
              </w:rPr>
            </w:pPr>
            <w:r>
              <w:rPr>
                <w:rFonts w:ascii="Arial" w:hAnsi="Arial" w:cs="Arial"/>
              </w:rPr>
              <w:t>La</w:t>
            </w:r>
            <w:r w:rsidR="005A2A6E">
              <w:rPr>
                <w:rFonts w:ascii="Arial" w:hAnsi="Arial" w:cs="Arial"/>
              </w:rPr>
              <w:t xml:space="preserve"> tasa fija aplicada para cualquier compraventa, genera </w:t>
            </w:r>
            <w:r w:rsidR="001C737B">
              <w:rPr>
                <w:rFonts w:ascii="Arial" w:hAnsi="Arial" w:cs="Arial"/>
              </w:rPr>
              <w:t>al contribuyente en transacciones mayores, la idea de que el pago va siendo mayor y que llega a perder equidad.</w:t>
            </w:r>
          </w:p>
          <w:p w:rsidR="009102BF" w:rsidRDefault="009102BF">
            <w:pPr>
              <w:spacing w:line="240" w:lineRule="auto"/>
              <w:rPr>
                <w:rFonts w:ascii="Arial" w:hAnsi="Arial" w:cs="Arial"/>
              </w:rPr>
            </w:pPr>
          </w:p>
          <w:p w:rsidR="009102BF" w:rsidRDefault="009102BF">
            <w:pPr>
              <w:spacing w:line="240" w:lineRule="auto"/>
              <w:rPr>
                <w:rFonts w:ascii="Arial" w:hAnsi="Arial" w:cs="Arial"/>
                <w:b/>
              </w:rPr>
            </w:pPr>
            <w:r>
              <w:rPr>
                <w:rFonts w:ascii="Arial" w:hAnsi="Arial" w:cs="Arial"/>
                <w:b/>
              </w:rPr>
              <w:t>Consideraciones que soportan el cambio:</w:t>
            </w:r>
          </w:p>
          <w:p w:rsidR="001C737B" w:rsidRDefault="009102BF">
            <w:pPr>
              <w:spacing w:line="240" w:lineRule="auto"/>
              <w:rPr>
                <w:rFonts w:ascii="Arial" w:hAnsi="Arial" w:cs="Arial"/>
              </w:rPr>
            </w:pPr>
            <w:r>
              <w:rPr>
                <w:rFonts w:ascii="Arial" w:hAnsi="Arial" w:cs="Arial"/>
              </w:rPr>
              <w:t xml:space="preserve">Se realizó un análisis </w:t>
            </w:r>
            <w:r w:rsidR="001C737B">
              <w:rPr>
                <w:rFonts w:ascii="Arial" w:hAnsi="Arial" w:cs="Arial"/>
              </w:rPr>
              <w:t xml:space="preserve">de la variación del impuesto, encontrando que no se impacta al contribuyente y si se </w:t>
            </w:r>
            <w:r w:rsidR="0095630F">
              <w:rPr>
                <w:rFonts w:ascii="Arial" w:hAnsi="Arial" w:cs="Arial"/>
              </w:rPr>
              <w:t>aumenta</w:t>
            </w:r>
            <w:r w:rsidR="001C737B">
              <w:rPr>
                <w:rFonts w:ascii="Arial" w:hAnsi="Arial" w:cs="Arial"/>
              </w:rPr>
              <w:t xml:space="preserve"> la recaudación.</w:t>
            </w:r>
          </w:p>
          <w:p w:rsidR="00F950E6" w:rsidRDefault="00F950E6">
            <w:pPr>
              <w:spacing w:line="240" w:lineRule="auto"/>
              <w:rPr>
                <w:rFonts w:ascii="Arial" w:hAnsi="Arial" w:cs="Arial"/>
              </w:rPr>
            </w:pPr>
            <w:r>
              <w:rPr>
                <w:rFonts w:ascii="Arial" w:hAnsi="Arial" w:cs="Arial"/>
              </w:rPr>
              <w:t>El impacto recaudatorio esperado para las finanzas municipales para el año fiscal 20</w:t>
            </w:r>
            <w:r w:rsidR="003B3D22">
              <w:rPr>
                <w:rFonts w:ascii="Arial" w:hAnsi="Arial" w:cs="Arial"/>
              </w:rPr>
              <w:t>20</w:t>
            </w:r>
            <w:r>
              <w:rPr>
                <w:rFonts w:ascii="Arial" w:hAnsi="Arial" w:cs="Arial"/>
              </w:rPr>
              <w:t>, asciende a $</w:t>
            </w:r>
            <w:r w:rsidR="003B3D22">
              <w:rPr>
                <w:rFonts w:ascii="Arial" w:hAnsi="Arial" w:cs="Arial"/>
              </w:rPr>
              <w:t>1’4</w:t>
            </w:r>
            <w:r w:rsidR="00F824C4">
              <w:rPr>
                <w:rFonts w:ascii="Arial" w:hAnsi="Arial" w:cs="Arial"/>
              </w:rPr>
              <w:t>38,476.42</w:t>
            </w:r>
            <w:r>
              <w:rPr>
                <w:rFonts w:ascii="Arial" w:hAnsi="Arial" w:cs="Arial"/>
              </w:rPr>
              <w:t xml:space="preserve"> (</w:t>
            </w:r>
            <w:r w:rsidR="003B3D22">
              <w:rPr>
                <w:rFonts w:ascii="Arial" w:hAnsi="Arial" w:cs="Arial"/>
              </w:rPr>
              <w:t>un millón cuatrocientos</w:t>
            </w:r>
            <w:r w:rsidR="00F824C4">
              <w:rPr>
                <w:rFonts w:ascii="Arial" w:hAnsi="Arial" w:cs="Arial"/>
              </w:rPr>
              <w:t xml:space="preserve"> treinta y ocho mil cuatrocientos setenta y seis pesos 42</w:t>
            </w:r>
            <w:r>
              <w:rPr>
                <w:rFonts w:ascii="Arial" w:hAnsi="Arial" w:cs="Arial"/>
              </w:rPr>
              <w:t>/100 M.N.</w:t>
            </w:r>
            <w:r w:rsidR="00F824C4">
              <w:rPr>
                <w:rFonts w:ascii="Arial" w:hAnsi="Arial" w:cs="Arial"/>
              </w:rPr>
              <w:t>)</w:t>
            </w:r>
            <w:r>
              <w:rPr>
                <w:rFonts w:ascii="Arial" w:hAnsi="Arial" w:cs="Arial"/>
              </w:rPr>
              <w:t>, de acuerdo a la tabla que se anexa.</w:t>
            </w:r>
          </w:p>
          <w:p w:rsidR="009102BF" w:rsidRDefault="009102BF">
            <w:pPr>
              <w:spacing w:line="240" w:lineRule="auto"/>
              <w:rPr>
                <w:rFonts w:ascii="Arial" w:hAnsi="Arial" w:cs="Arial"/>
              </w:rPr>
            </w:pPr>
          </w:p>
          <w:p w:rsidR="009102BF" w:rsidRDefault="009102BF">
            <w:pPr>
              <w:spacing w:line="240" w:lineRule="auto"/>
              <w:rPr>
                <w:rFonts w:ascii="Arial" w:hAnsi="Arial" w:cs="Arial"/>
                <w:b/>
              </w:rPr>
            </w:pPr>
            <w:r>
              <w:rPr>
                <w:rFonts w:ascii="Arial" w:hAnsi="Arial" w:cs="Arial"/>
                <w:b/>
              </w:rPr>
              <w:t>Propuesta de modificación:</w:t>
            </w:r>
          </w:p>
          <w:p w:rsidR="009102BF" w:rsidRDefault="001C737B">
            <w:pPr>
              <w:spacing w:line="240" w:lineRule="auto"/>
              <w:jc w:val="both"/>
              <w:rPr>
                <w:rFonts w:ascii="Arial" w:hAnsi="Arial" w:cs="Arial"/>
              </w:rPr>
            </w:pPr>
            <w:r>
              <w:rPr>
                <w:rFonts w:ascii="Arial" w:hAnsi="Arial" w:cs="Arial"/>
              </w:rPr>
              <w:t xml:space="preserve">Se propone una tabla progresiva tanto en rango de valor de la operación, como de porcentaje de la tasa y una cuota fija subsidiada, de acuerdo a </w:t>
            </w:r>
            <w:r w:rsidR="0095630F">
              <w:rPr>
                <w:rFonts w:ascii="Arial" w:hAnsi="Arial" w:cs="Arial"/>
              </w:rPr>
              <w:t>la base de cálculo que se anexa</w:t>
            </w:r>
            <w:r>
              <w:rPr>
                <w:rFonts w:ascii="Arial" w:hAnsi="Arial" w:cs="Arial"/>
              </w:rPr>
              <w:t>.</w:t>
            </w:r>
          </w:p>
          <w:p w:rsidR="009102BF" w:rsidRDefault="009102BF">
            <w:pPr>
              <w:spacing w:line="240" w:lineRule="auto"/>
              <w:jc w:val="both"/>
              <w:rPr>
                <w:rFonts w:ascii="Arial" w:hAnsi="Arial" w:cs="Arial"/>
              </w:rPr>
            </w:pPr>
          </w:p>
          <w:p w:rsidR="009102BF" w:rsidRDefault="009102BF">
            <w:pPr>
              <w:spacing w:line="240" w:lineRule="auto"/>
              <w:rPr>
                <w:rFonts w:ascii="Arial" w:hAnsi="Arial" w:cs="Arial"/>
                <w:b/>
              </w:rPr>
            </w:pPr>
            <w:r>
              <w:rPr>
                <w:rFonts w:ascii="Arial" w:hAnsi="Arial" w:cs="Arial"/>
                <w:b/>
              </w:rPr>
              <w:t>Conclusiones:</w:t>
            </w:r>
          </w:p>
          <w:p w:rsidR="009102BF" w:rsidRDefault="009102BF">
            <w:pPr>
              <w:spacing w:line="240" w:lineRule="auto"/>
              <w:rPr>
                <w:rFonts w:ascii="Arial" w:hAnsi="Arial" w:cs="Arial"/>
              </w:rPr>
            </w:pPr>
            <w:r>
              <w:rPr>
                <w:rFonts w:ascii="Arial" w:hAnsi="Arial" w:cs="Arial"/>
              </w:rPr>
              <w:t xml:space="preserve">El </w:t>
            </w:r>
            <w:r w:rsidR="0095630F">
              <w:rPr>
                <w:rFonts w:ascii="Arial" w:hAnsi="Arial" w:cs="Arial"/>
              </w:rPr>
              <w:t>incremento no es representativo</w:t>
            </w:r>
            <w:r>
              <w:rPr>
                <w:rFonts w:ascii="Arial" w:hAnsi="Arial" w:cs="Arial"/>
              </w:rPr>
              <w:t xml:space="preserve"> para los </w:t>
            </w:r>
            <w:r w:rsidR="001C737B">
              <w:rPr>
                <w:rFonts w:ascii="Arial" w:hAnsi="Arial" w:cs="Arial"/>
              </w:rPr>
              <w:t>contribuyentes</w:t>
            </w:r>
            <w:r>
              <w:rPr>
                <w:rFonts w:ascii="Arial" w:hAnsi="Arial" w:cs="Arial"/>
              </w:rPr>
              <w:t xml:space="preserve"> </w:t>
            </w:r>
            <w:r w:rsidR="001C737B">
              <w:rPr>
                <w:rFonts w:ascii="Arial" w:hAnsi="Arial" w:cs="Arial"/>
              </w:rPr>
              <w:t>que realizan un traslado de dominio</w:t>
            </w:r>
            <w:r>
              <w:rPr>
                <w:rFonts w:ascii="Arial" w:hAnsi="Arial" w:cs="Arial"/>
              </w:rPr>
              <w:t xml:space="preserve"> y en cambio se logrará </w:t>
            </w:r>
            <w:r w:rsidR="001C737B">
              <w:rPr>
                <w:rFonts w:ascii="Arial" w:hAnsi="Arial" w:cs="Arial"/>
              </w:rPr>
              <w:t>que el</w:t>
            </w:r>
            <w:r>
              <w:rPr>
                <w:rFonts w:ascii="Arial" w:hAnsi="Arial" w:cs="Arial"/>
              </w:rPr>
              <w:t xml:space="preserve"> municipio </w:t>
            </w:r>
            <w:r w:rsidR="001C737B">
              <w:rPr>
                <w:rFonts w:ascii="Arial" w:hAnsi="Arial" w:cs="Arial"/>
              </w:rPr>
              <w:t xml:space="preserve">aumente los ingresos generados por esta acción. </w:t>
            </w:r>
          </w:p>
          <w:p w:rsidR="00656D8A" w:rsidRDefault="00656D8A">
            <w:pPr>
              <w:spacing w:line="240" w:lineRule="auto"/>
              <w:rPr>
                <w:rFonts w:ascii="Arial" w:hAnsi="Arial" w:cs="Arial"/>
              </w:rPr>
            </w:pPr>
            <w:r>
              <w:rPr>
                <w:rFonts w:ascii="Arial" w:hAnsi="Arial" w:cs="Arial"/>
              </w:rPr>
              <w:t>Por otro lado, se intenta dotar de progresividad, proporcionalidad y justicia tributaria al impuesto municipal de adquisiciones de bienes inmuebles, además de mejorar la recaudación del impuesto</w:t>
            </w:r>
            <w:r w:rsidR="00F950E6">
              <w:rPr>
                <w:rFonts w:ascii="Arial" w:hAnsi="Arial" w:cs="Arial"/>
              </w:rPr>
              <w:t>, distribuyendo de una mejor forma la captación entre los ámbitos de gobierno en concordancia a las cargas que implica la administración del tributo y que mayormente pesan en el ámbito municipal.</w:t>
            </w:r>
          </w:p>
          <w:p w:rsidR="009102BF" w:rsidRDefault="009102BF">
            <w:pPr>
              <w:spacing w:line="240" w:lineRule="auto"/>
              <w:rPr>
                <w:rFonts w:ascii="Arial" w:hAnsi="Arial" w:cs="Arial"/>
              </w:rPr>
            </w:pPr>
          </w:p>
        </w:tc>
      </w:tr>
    </w:tbl>
    <w:p w:rsidR="007F5AD1" w:rsidRDefault="007F5AD1" w:rsidP="00F824C4">
      <w:pPr>
        <w:rPr>
          <w:rFonts w:ascii="Arial" w:hAnsi="Arial" w:cs="Arial"/>
          <w:sz w:val="36"/>
          <w:szCs w:val="36"/>
        </w:rPr>
      </w:pPr>
    </w:p>
    <w:sectPr w:rsidR="007F5AD1" w:rsidSect="00091010">
      <w:footerReference w:type="default" r:id="rId14"/>
      <w:type w:val="continuous"/>
      <w:pgSz w:w="12240" w:h="15840"/>
      <w:pgMar w:top="1942"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65B3" w:rsidRDefault="007365B3" w:rsidP="00826AB6">
      <w:pPr>
        <w:spacing w:after="0" w:line="240" w:lineRule="auto"/>
      </w:pPr>
      <w:r>
        <w:separator/>
      </w:r>
    </w:p>
  </w:endnote>
  <w:endnote w:type="continuationSeparator" w:id="0">
    <w:p w:rsidR="007365B3" w:rsidRDefault="007365B3" w:rsidP="00826A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rinda">
    <w:altName w:val="Segoe UI"/>
    <w:panose1 w:val="020B0502040204020203"/>
    <w:charset w:val="01"/>
    <w:family w:val="roman"/>
    <w:notTrueType/>
    <w:pitch w:val="variable"/>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889" w:rsidRDefault="00067889">
    <w:pPr>
      <w:pStyle w:val="Piedepgina"/>
      <w:jc w:val="right"/>
    </w:pPr>
  </w:p>
  <w:p w:rsidR="00067889" w:rsidRDefault="0006788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65B3" w:rsidRDefault="007365B3" w:rsidP="00826AB6">
      <w:pPr>
        <w:spacing w:after="0" w:line="240" w:lineRule="auto"/>
      </w:pPr>
      <w:r>
        <w:separator/>
      </w:r>
    </w:p>
  </w:footnote>
  <w:footnote w:type="continuationSeparator" w:id="0">
    <w:p w:rsidR="007365B3" w:rsidRDefault="007365B3" w:rsidP="00826AB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9E34D80"/>
    <w:multiLevelType w:val="hybridMultilevel"/>
    <w:tmpl w:val="F7FACE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5357"/>
    <w:rsid w:val="00006712"/>
    <w:rsid w:val="00007643"/>
    <w:rsid w:val="0001785F"/>
    <w:rsid w:val="00046624"/>
    <w:rsid w:val="00067889"/>
    <w:rsid w:val="00081F05"/>
    <w:rsid w:val="00085038"/>
    <w:rsid w:val="00091010"/>
    <w:rsid w:val="00091C4E"/>
    <w:rsid w:val="000A084B"/>
    <w:rsid w:val="000A3FCE"/>
    <w:rsid w:val="000B727B"/>
    <w:rsid w:val="000E3B32"/>
    <w:rsid w:val="000E6F98"/>
    <w:rsid w:val="0011204A"/>
    <w:rsid w:val="00116544"/>
    <w:rsid w:val="00116764"/>
    <w:rsid w:val="001532D0"/>
    <w:rsid w:val="001A0A77"/>
    <w:rsid w:val="001A1DDA"/>
    <w:rsid w:val="001A24A9"/>
    <w:rsid w:val="001C737B"/>
    <w:rsid w:val="001E0130"/>
    <w:rsid w:val="001E1117"/>
    <w:rsid w:val="001E6A73"/>
    <w:rsid w:val="00200981"/>
    <w:rsid w:val="00216808"/>
    <w:rsid w:val="002B2D7A"/>
    <w:rsid w:val="002B4B62"/>
    <w:rsid w:val="002D0A9A"/>
    <w:rsid w:val="002E41E1"/>
    <w:rsid w:val="003118BE"/>
    <w:rsid w:val="0033577E"/>
    <w:rsid w:val="00346990"/>
    <w:rsid w:val="003638E7"/>
    <w:rsid w:val="0037179E"/>
    <w:rsid w:val="003B3D22"/>
    <w:rsid w:val="003B636D"/>
    <w:rsid w:val="003E7C71"/>
    <w:rsid w:val="00402299"/>
    <w:rsid w:val="00411570"/>
    <w:rsid w:val="00416BAD"/>
    <w:rsid w:val="00423B5B"/>
    <w:rsid w:val="00424EFA"/>
    <w:rsid w:val="00456736"/>
    <w:rsid w:val="004907B0"/>
    <w:rsid w:val="00497B19"/>
    <w:rsid w:val="004B711E"/>
    <w:rsid w:val="004C2494"/>
    <w:rsid w:val="004C583F"/>
    <w:rsid w:val="004E4291"/>
    <w:rsid w:val="005026D6"/>
    <w:rsid w:val="00560B42"/>
    <w:rsid w:val="00561FE7"/>
    <w:rsid w:val="00563833"/>
    <w:rsid w:val="00564B3E"/>
    <w:rsid w:val="0056593E"/>
    <w:rsid w:val="005A0D87"/>
    <w:rsid w:val="005A288A"/>
    <w:rsid w:val="005A2A6E"/>
    <w:rsid w:val="005B45CC"/>
    <w:rsid w:val="005B69F4"/>
    <w:rsid w:val="005C6579"/>
    <w:rsid w:val="005D06CA"/>
    <w:rsid w:val="005E1FAC"/>
    <w:rsid w:val="005F5BCA"/>
    <w:rsid w:val="00606564"/>
    <w:rsid w:val="00606F44"/>
    <w:rsid w:val="00625C9D"/>
    <w:rsid w:val="00644501"/>
    <w:rsid w:val="00656D8A"/>
    <w:rsid w:val="00667449"/>
    <w:rsid w:val="006A1695"/>
    <w:rsid w:val="006B552D"/>
    <w:rsid w:val="007059F2"/>
    <w:rsid w:val="007259BD"/>
    <w:rsid w:val="007365B3"/>
    <w:rsid w:val="00737943"/>
    <w:rsid w:val="00747492"/>
    <w:rsid w:val="00752AEB"/>
    <w:rsid w:val="00753C27"/>
    <w:rsid w:val="00761333"/>
    <w:rsid w:val="00764BBE"/>
    <w:rsid w:val="00793203"/>
    <w:rsid w:val="007B5242"/>
    <w:rsid w:val="007C157D"/>
    <w:rsid w:val="007C33D7"/>
    <w:rsid w:val="007D0E96"/>
    <w:rsid w:val="007D70C5"/>
    <w:rsid w:val="007E63E5"/>
    <w:rsid w:val="007E654F"/>
    <w:rsid w:val="007F5AD1"/>
    <w:rsid w:val="00826AB6"/>
    <w:rsid w:val="008729C4"/>
    <w:rsid w:val="00875410"/>
    <w:rsid w:val="00876399"/>
    <w:rsid w:val="008764A0"/>
    <w:rsid w:val="008825E5"/>
    <w:rsid w:val="008A304D"/>
    <w:rsid w:val="008A3DFC"/>
    <w:rsid w:val="008C5929"/>
    <w:rsid w:val="008F5D3C"/>
    <w:rsid w:val="00901BE9"/>
    <w:rsid w:val="00905288"/>
    <w:rsid w:val="009102BF"/>
    <w:rsid w:val="00917DD5"/>
    <w:rsid w:val="00926F6A"/>
    <w:rsid w:val="0094497C"/>
    <w:rsid w:val="009524E4"/>
    <w:rsid w:val="0095630F"/>
    <w:rsid w:val="00963CD6"/>
    <w:rsid w:val="009A2D8C"/>
    <w:rsid w:val="009E0078"/>
    <w:rsid w:val="009E5039"/>
    <w:rsid w:val="009F127A"/>
    <w:rsid w:val="00A26D71"/>
    <w:rsid w:val="00A46674"/>
    <w:rsid w:val="00A47819"/>
    <w:rsid w:val="00A81978"/>
    <w:rsid w:val="00A85525"/>
    <w:rsid w:val="00A85EFE"/>
    <w:rsid w:val="00AA4176"/>
    <w:rsid w:val="00AB3A7E"/>
    <w:rsid w:val="00AB7FCA"/>
    <w:rsid w:val="00AC029A"/>
    <w:rsid w:val="00AD7C11"/>
    <w:rsid w:val="00AF7C22"/>
    <w:rsid w:val="00B07B15"/>
    <w:rsid w:val="00B52F1C"/>
    <w:rsid w:val="00B674E0"/>
    <w:rsid w:val="00B85611"/>
    <w:rsid w:val="00B92645"/>
    <w:rsid w:val="00B941B4"/>
    <w:rsid w:val="00BA57ED"/>
    <w:rsid w:val="00BA79A5"/>
    <w:rsid w:val="00BB5357"/>
    <w:rsid w:val="00BC196A"/>
    <w:rsid w:val="00BD188E"/>
    <w:rsid w:val="00BE1952"/>
    <w:rsid w:val="00BE2F10"/>
    <w:rsid w:val="00BF1D8F"/>
    <w:rsid w:val="00BF461D"/>
    <w:rsid w:val="00C16194"/>
    <w:rsid w:val="00C31B79"/>
    <w:rsid w:val="00C63824"/>
    <w:rsid w:val="00C66FE2"/>
    <w:rsid w:val="00C830ED"/>
    <w:rsid w:val="00CB69B6"/>
    <w:rsid w:val="00CC63FC"/>
    <w:rsid w:val="00CE3F11"/>
    <w:rsid w:val="00CE7AEC"/>
    <w:rsid w:val="00D2319B"/>
    <w:rsid w:val="00D60795"/>
    <w:rsid w:val="00D64BCB"/>
    <w:rsid w:val="00D8178B"/>
    <w:rsid w:val="00DA0BD4"/>
    <w:rsid w:val="00DA5FAB"/>
    <w:rsid w:val="00DE3011"/>
    <w:rsid w:val="00E054F3"/>
    <w:rsid w:val="00E06368"/>
    <w:rsid w:val="00E3289D"/>
    <w:rsid w:val="00E449A4"/>
    <w:rsid w:val="00E52270"/>
    <w:rsid w:val="00E56533"/>
    <w:rsid w:val="00E949FE"/>
    <w:rsid w:val="00EA3E6C"/>
    <w:rsid w:val="00EB7EC1"/>
    <w:rsid w:val="00ED28DF"/>
    <w:rsid w:val="00ED2FFA"/>
    <w:rsid w:val="00EF3768"/>
    <w:rsid w:val="00EF7496"/>
    <w:rsid w:val="00F202B1"/>
    <w:rsid w:val="00F3359F"/>
    <w:rsid w:val="00F64F4A"/>
    <w:rsid w:val="00F824C4"/>
    <w:rsid w:val="00F91A40"/>
    <w:rsid w:val="00F950E6"/>
    <w:rsid w:val="00FB2CD2"/>
    <w:rsid w:val="00FC3493"/>
    <w:rsid w:val="00FC59B2"/>
    <w:rsid w:val="00FD33B6"/>
  </w:rsids>
  <m:mathPr>
    <m:mathFont m:val="Cambria Math"/>
    <m:brkBin m:val="before"/>
    <m:brkBinSub m:val="--"/>
    <m:smallFrac m:val="0"/>
    <m:dispDef/>
    <m:lMargin m:val="0"/>
    <m:rMargin m:val="0"/>
    <m:defJc m:val="centerGroup"/>
    <m:wrapIndent m:val="1440"/>
    <m:intLim m:val="subSup"/>
    <m:naryLim m:val="undOvr"/>
  </m:mathPr>
  <w:themeFontLang w:val="es-MX" w:bidi="mni-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BCC88FC9-FC44-458A-A43B-48477BF0B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2BF"/>
    <w:pPr>
      <w:spacing w:line="25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26AB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26AB6"/>
  </w:style>
  <w:style w:type="paragraph" w:styleId="Piedepgina">
    <w:name w:val="footer"/>
    <w:basedOn w:val="Normal"/>
    <w:link w:val="PiedepginaCar"/>
    <w:uiPriority w:val="99"/>
    <w:unhideWhenUsed/>
    <w:rsid w:val="00826AB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26AB6"/>
  </w:style>
  <w:style w:type="paragraph" w:styleId="Prrafodelista">
    <w:name w:val="List Paragraph"/>
    <w:basedOn w:val="Normal"/>
    <w:uiPriority w:val="34"/>
    <w:qFormat/>
    <w:rsid w:val="007F5AD1"/>
    <w:pPr>
      <w:spacing w:line="259" w:lineRule="auto"/>
      <w:ind w:left="720"/>
      <w:contextualSpacing/>
    </w:pPr>
  </w:style>
  <w:style w:type="table" w:styleId="Tablaconcuadrcula">
    <w:name w:val="Table Grid"/>
    <w:basedOn w:val="Tablanormal"/>
    <w:uiPriority w:val="39"/>
    <w:rsid w:val="007F5A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876399"/>
    <w:pPr>
      <w:spacing w:after="0" w:line="240" w:lineRule="auto"/>
    </w:pPr>
  </w:style>
  <w:style w:type="paragraph" w:styleId="NormalWeb">
    <w:name w:val="Normal (Web)"/>
    <w:basedOn w:val="Normal"/>
    <w:uiPriority w:val="99"/>
    <w:semiHidden/>
    <w:unhideWhenUsed/>
    <w:rsid w:val="005B45CC"/>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Textodeglobo">
    <w:name w:val="Balloon Text"/>
    <w:basedOn w:val="Normal"/>
    <w:link w:val="TextodegloboCar"/>
    <w:uiPriority w:val="99"/>
    <w:semiHidden/>
    <w:unhideWhenUsed/>
    <w:rsid w:val="009E5039"/>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E503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549916">
      <w:bodyDiv w:val="1"/>
      <w:marLeft w:val="0"/>
      <w:marRight w:val="0"/>
      <w:marTop w:val="0"/>
      <w:marBottom w:val="0"/>
      <w:divBdr>
        <w:top w:val="none" w:sz="0" w:space="0" w:color="auto"/>
        <w:left w:val="none" w:sz="0" w:space="0" w:color="auto"/>
        <w:bottom w:val="none" w:sz="0" w:space="0" w:color="auto"/>
        <w:right w:val="none" w:sz="0" w:space="0" w:color="auto"/>
      </w:divBdr>
    </w:div>
    <w:div w:id="240452250">
      <w:bodyDiv w:val="1"/>
      <w:marLeft w:val="0"/>
      <w:marRight w:val="0"/>
      <w:marTop w:val="0"/>
      <w:marBottom w:val="0"/>
      <w:divBdr>
        <w:top w:val="none" w:sz="0" w:space="0" w:color="auto"/>
        <w:left w:val="none" w:sz="0" w:space="0" w:color="auto"/>
        <w:bottom w:val="none" w:sz="0" w:space="0" w:color="auto"/>
        <w:right w:val="none" w:sz="0" w:space="0" w:color="auto"/>
      </w:divBdr>
    </w:div>
    <w:div w:id="295455755">
      <w:bodyDiv w:val="1"/>
      <w:marLeft w:val="0"/>
      <w:marRight w:val="0"/>
      <w:marTop w:val="0"/>
      <w:marBottom w:val="0"/>
      <w:divBdr>
        <w:top w:val="none" w:sz="0" w:space="0" w:color="auto"/>
        <w:left w:val="none" w:sz="0" w:space="0" w:color="auto"/>
        <w:bottom w:val="none" w:sz="0" w:space="0" w:color="auto"/>
        <w:right w:val="none" w:sz="0" w:space="0" w:color="auto"/>
      </w:divBdr>
    </w:div>
    <w:div w:id="407921775">
      <w:bodyDiv w:val="1"/>
      <w:marLeft w:val="0"/>
      <w:marRight w:val="0"/>
      <w:marTop w:val="0"/>
      <w:marBottom w:val="0"/>
      <w:divBdr>
        <w:top w:val="none" w:sz="0" w:space="0" w:color="auto"/>
        <w:left w:val="none" w:sz="0" w:space="0" w:color="auto"/>
        <w:bottom w:val="none" w:sz="0" w:space="0" w:color="auto"/>
        <w:right w:val="none" w:sz="0" w:space="0" w:color="auto"/>
      </w:divBdr>
    </w:div>
    <w:div w:id="1731265763">
      <w:bodyDiv w:val="1"/>
      <w:marLeft w:val="0"/>
      <w:marRight w:val="0"/>
      <w:marTop w:val="0"/>
      <w:marBottom w:val="0"/>
      <w:divBdr>
        <w:top w:val="none" w:sz="0" w:space="0" w:color="auto"/>
        <w:left w:val="none" w:sz="0" w:space="0" w:color="auto"/>
        <w:bottom w:val="none" w:sz="0" w:space="0" w:color="auto"/>
        <w:right w:val="none" w:sz="0" w:space="0" w:color="auto"/>
      </w:divBdr>
    </w:div>
    <w:div w:id="2049640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2.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6DACE-F86B-4BB2-92CF-F33B86142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1330</Words>
  <Characters>7320</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 Lara</dc:creator>
  <cp:lastModifiedBy>admin</cp:lastModifiedBy>
  <cp:revision>2</cp:revision>
  <cp:lastPrinted>2017-10-02T20:53:00Z</cp:lastPrinted>
  <dcterms:created xsi:type="dcterms:W3CDTF">2019-10-22T20:00:00Z</dcterms:created>
  <dcterms:modified xsi:type="dcterms:W3CDTF">2019-10-22T20:00:00Z</dcterms:modified>
</cp:coreProperties>
</file>